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page" w:horzAnchor="margin" w:tblpY="1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37"/>
        <w:gridCol w:w="1341"/>
      </w:tblGrid>
      <w:tr w:rsidR="0081200D" w:rsidRPr="00EF151C" w:rsidTr="00BC1707">
        <w:tc>
          <w:tcPr>
            <w:tcW w:w="7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200D" w:rsidRPr="00D92ED6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2ED6">
              <w:rPr>
                <w:rFonts w:ascii="Times New Roman" w:hAnsi="Times New Roman" w:cs="Times New Roman"/>
                <w:b/>
                <w:sz w:val="20"/>
                <w:szCs w:val="24"/>
              </w:rPr>
              <w:t>Tabela 1. Prevalência dos sintomas apresentados pelos pacientes com úlcera córnea.</w:t>
            </w:r>
          </w:p>
        </w:tc>
      </w:tr>
      <w:tr w:rsidR="0081200D" w:rsidRPr="00EF151C" w:rsidTr="00BC1707">
        <w:tc>
          <w:tcPr>
            <w:tcW w:w="3544" w:type="dxa"/>
            <w:tcBorders>
              <w:top w:val="single" w:sz="12" w:space="0" w:color="auto"/>
              <w:bottom w:val="nil"/>
            </w:tcBorders>
            <w:shd w:val="pct2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b/>
                <w:sz w:val="24"/>
                <w:szCs w:val="24"/>
              </w:rPr>
              <w:t>Sintomas</w:t>
            </w:r>
          </w:p>
        </w:tc>
        <w:tc>
          <w:tcPr>
            <w:tcW w:w="2537" w:type="dxa"/>
            <w:tcBorders>
              <w:top w:val="single" w:sz="12" w:space="0" w:color="auto"/>
              <w:bottom w:val="nil"/>
            </w:tcBorders>
            <w:shd w:val="pct25" w:color="auto" w:fill="auto"/>
          </w:tcPr>
          <w:p w:rsidR="0081200D" w:rsidRPr="004B22E1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E1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341" w:type="dxa"/>
            <w:tcBorders>
              <w:top w:val="single" w:sz="12" w:space="0" w:color="auto"/>
              <w:bottom w:val="nil"/>
            </w:tcBorders>
            <w:shd w:val="pct25" w:color="auto" w:fill="auto"/>
          </w:tcPr>
          <w:p w:rsidR="0081200D" w:rsidRPr="004B22E1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81200D" w:rsidRPr="00EF151C" w:rsidTr="00BC1707">
        <w:tc>
          <w:tcPr>
            <w:tcW w:w="3544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Hiperemia</w:t>
            </w: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6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00D" w:rsidRPr="00EF151C" w:rsidTr="00BC1707">
        <w:tc>
          <w:tcPr>
            <w:tcW w:w="3544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Prurido</w:t>
            </w: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1200D" w:rsidRPr="00EF151C" w:rsidTr="00BC1707">
        <w:tc>
          <w:tcPr>
            <w:tcW w:w="3544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Epífora</w:t>
            </w:r>
            <w:proofErr w:type="spellEnd"/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1200D" w:rsidRPr="00EF151C" w:rsidTr="00BC1707">
        <w:tc>
          <w:tcPr>
            <w:tcW w:w="3544" w:type="dxa"/>
            <w:tcBorders>
              <w:top w:val="nil"/>
              <w:bottom w:val="nil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Sensação de corpo estranho</w:t>
            </w:r>
          </w:p>
        </w:tc>
        <w:tc>
          <w:tcPr>
            <w:tcW w:w="2537" w:type="dxa"/>
            <w:tcBorders>
              <w:top w:val="nil"/>
              <w:bottom w:val="nil"/>
            </w:tcBorders>
            <w:shd w:val="pct15" w:color="auto" w:fill="auto"/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1200D" w:rsidRPr="00EF151C" w:rsidTr="00BC1707">
        <w:tc>
          <w:tcPr>
            <w:tcW w:w="3544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Fotofobia</w:t>
            </w: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E6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1200D" w:rsidRPr="00EF151C" w:rsidTr="00BC1707"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2537" w:type="dxa"/>
            <w:tcBorders>
              <w:top w:val="nil"/>
              <w:bottom w:val="single" w:sz="12" w:space="0" w:color="auto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41" w:type="dxa"/>
            <w:tcBorders>
              <w:top w:val="nil"/>
              <w:bottom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1200D" w:rsidRPr="00EF151C" w:rsidTr="00BC1707"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81200D" w:rsidRPr="008337BC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B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3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81200D" w:rsidRPr="00EF151C" w:rsidRDefault="0091651B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1200D" w:rsidRDefault="0081200D" w:rsidP="0081200D"/>
    <w:p w:rsidR="0081200D" w:rsidRDefault="0081200D" w:rsidP="0081200D"/>
    <w:p w:rsidR="0081200D" w:rsidRDefault="0081200D" w:rsidP="0081200D"/>
    <w:p w:rsidR="0081200D" w:rsidRDefault="0081200D" w:rsidP="0081200D"/>
    <w:p w:rsidR="0081200D" w:rsidRDefault="0081200D" w:rsidP="0081200D"/>
    <w:p w:rsidR="0081200D" w:rsidRDefault="0081200D" w:rsidP="0081200D"/>
    <w:p w:rsidR="0081200D" w:rsidRDefault="0081200D" w:rsidP="0081200D"/>
    <w:p w:rsidR="0081200D" w:rsidRDefault="0081200D" w:rsidP="0081200D"/>
    <w:p w:rsidR="0081200D" w:rsidRDefault="0081200D" w:rsidP="0081200D">
      <w:pPr>
        <w:jc w:val="both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2410"/>
        <w:gridCol w:w="1417"/>
      </w:tblGrid>
      <w:tr w:rsidR="0081200D" w:rsidRPr="00EF151C" w:rsidTr="00BC1707">
        <w:tc>
          <w:tcPr>
            <w:tcW w:w="7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200D" w:rsidRPr="00D92ED6" w:rsidRDefault="0081200D" w:rsidP="00BC1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ED6">
              <w:rPr>
                <w:rFonts w:ascii="Times New Roman" w:hAnsi="Times New Roman" w:cs="Times New Roman"/>
                <w:b/>
                <w:sz w:val="20"/>
                <w:szCs w:val="24"/>
              </w:rPr>
              <w:t>Tabela 2. Prevalência dos fatores de risco para manifestação da úlcera córnea.</w:t>
            </w:r>
          </w:p>
        </w:tc>
      </w:tr>
      <w:tr w:rsidR="0081200D" w:rsidRPr="00EF151C" w:rsidTr="00BC1707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0" w:color="auto" w:fill="auto"/>
          </w:tcPr>
          <w:p w:rsidR="0081200D" w:rsidRPr="003217C6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C6">
              <w:rPr>
                <w:rFonts w:ascii="Times New Roman" w:hAnsi="Times New Roman" w:cs="Times New Roman"/>
                <w:b/>
                <w:sz w:val="24"/>
                <w:szCs w:val="24"/>
              </w:rPr>
              <w:t>Fatores de risco</w:t>
            </w:r>
          </w:p>
        </w:tc>
        <w:tc>
          <w:tcPr>
            <w:tcW w:w="2410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:rsidR="0081200D" w:rsidRPr="003217C6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C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:rsidR="0081200D" w:rsidRPr="003217C6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81200D" w:rsidRPr="00EF151C" w:rsidTr="00BC1707">
        <w:tc>
          <w:tcPr>
            <w:tcW w:w="3671" w:type="dxa"/>
            <w:tcBorders>
              <w:top w:val="nil"/>
              <w:left w:val="single" w:sz="12" w:space="0" w:color="auto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Corpo estranho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00D" w:rsidRPr="00EF151C" w:rsidTr="00BC1707">
        <w:tc>
          <w:tcPr>
            <w:tcW w:w="3671" w:type="dxa"/>
            <w:tcBorders>
              <w:top w:val="nil"/>
              <w:lef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Lente de contato</w:t>
            </w:r>
          </w:p>
        </w:tc>
        <w:tc>
          <w:tcPr>
            <w:tcW w:w="2410" w:type="dxa"/>
            <w:tcBorders>
              <w:top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nil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00D" w:rsidRPr="00EF151C" w:rsidTr="00BC1707">
        <w:tc>
          <w:tcPr>
            <w:tcW w:w="3671" w:type="dxa"/>
            <w:tcBorders>
              <w:left w:val="single" w:sz="12" w:space="0" w:color="auto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Conjuntivite</w:t>
            </w:r>
          </w:p>
        </w:tc>
        <w:tc>
          <w:tcPr>
            <w:tcW w:w="2410" w:type="dxa"/>
            <w:tcBorders>
              <w:bottom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1200D" w:rsidRPr="00EF151C" w:rsidTr="00BC1707">
        <w:tc>
          <w:tcPr>
            <w:tcW w:w="3671" w:type="dxa"/>
            <w:tcBorders>
              <w:top w:val="nil"/>
              <w:left w:val="single" w:sz="12" w:space="0" w:color="auto"/>
              <w:bottom w:val="nil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Catarata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5" w:color="auto" w:fill="auto"/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2" w:space="0" w:color="auto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1200D" w:rsidRPr="00EF151C" w:rsidTr="00BC1707">
        <w:tc>
          <w:tcPr>
            <w:tcW w:w="3671" w:type="dxa"/>
            <w:tcBorders>
              <w:top w:val="nil"/>
              <w:lef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Herpes</w:t>
            </w:r>
          </w:p>
        </w:tc>
        <w:tc>
          <w:tcPr>
            <w:tcW w:w="2410" w:type="dxa"/>
            <w:tcBorders>
              <w:top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1200D" w:rsidRPr="00EF151C" w:rsidTr="00BC1707">
        <w:tc>
          <w:tcPr>
            <w:tcW w:w="3671" w:type="dxa"/>
            <w:tcBorders>
              <w:left w:val="single" w:sz="12" w:space="0" w:color="auto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Cerotocone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6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00D" w:rsidRPr="00EF151C" w:rsidTr="00BC1707">
        <w:tc>
          <w:tcPr>
            <w:tcW w:w="367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2410" w:type="dxa"/>
            <w:tcBorders>
              <w:top w:val="nil"/>
              <w:bottom w:val="single" w:sz="12" w:space="0" w:color="auto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1200D" w:rsidRPr="00EF151C" w:rsidTr="00BC1707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81200D" w:rsidRPr="008337BC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B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81200D" w:rsidRPr="00EF151C" w:rsidRDefault="0091651B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1200D" w:rsidRDefault="0081200D" w:rsidP="0081200D"/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2551"/>
        <w:gridCol w:w="1276"/>
      </w:tblGrid>
      <w:tr w:rsidR="0081200D" w:rsidRPr="00EF151C" w:rsidTr="00BC1707">
        <w:tc>
          <w:tcPr>
            <w:tcW w:w="7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200D" w:rsidRPr="003C11A1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A1">
              <w:rPr>
                <w:rFonts w:ascii="Times New Roman" w:hAnsi="Times New Roman" w:cs="Times New Roman"/>
                <w:b/>
                <w:sz w:val="20"/>
                <w:szCs w:val="24"/>
              </w:rPr>
              <w:t>Tabela 3. Prevalência por diagnósticos dos pacientes com úlcera córnea.</w:t>
            </w:r>
          </w:p>
        </w:tc>
      </w:tr>
      <w:tr w:rsidR="0081200D" w:rsidRPr="00EF151C" w:rsidTr="00724EC6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0" w:color="auto" w:fill="auto"/>
          </w:tcPr>
          <w:p w:rsidR="0081200D" w:rsidRPr="005D7E77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b/>
                <w:sz w:val="24"/>
                <w:szCs w:val="24"/>
              </w:rPr>
              <w:t>Diagnóstico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clínico-etiológico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:rsidR="0081200D" w:rsidRPr="005D7E77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:rsidR="0081200D" w:rsidRPr="005D7E77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E7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81200D" w:rsidRPr="00EF151C" w:rsidTr="00724EC6">
        <w:tc>
          <w:tcPr>
            <w:tcW w:w="3671" w:type="dxa"/>
            <w:tcBorders>
              <w:top w:val="nil"/>
              <w:left w:val="single" w:sz="12" w:space="0" w:color="auto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A6B">
              <w:rPr>
                <w:rFonts w:ascii="Times New Roman" w:hAnsi="Times New Roman" w:cs="Times New Roman"/>
                <w:sz w:val="24"/>
                <w:szCs w:val="24"/>
              </w:rPr>
              <w:t>Protozoários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6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1200D" w:rsidRPr="00EF151C" w:rsidTr="00724EC6">
        <w:tc>
          <w:tcPr>
            <w:tcW w:w="3671" w:type="dxa"/>
            <w:tcBorders>
              <w:top w:val="nil"/>
              <w:left w:val="single" w:sz="12" w:space="0" w:color="auto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A6B">
              <w:rPr>
                <w:rFonts w:ascii="Times New Roman" w:hAnsi="Times New Roman" w:cs="Times New Roman"/>
                <w:sz w:val="24"/>
                <w:szCs w:val="24"/>
              </w:rPr>
              <w:t>Bactérias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200D" w:rsidRPr="00EF151C" w:rsidTr="00724EC6">
        <w:tc>
          <w:tcPr>
            <w:tcW w:w="3671" w:type="dxa"/>
            <w:tcBorders>
              <w:top w:val="nil"/>
              <w:left w:val="single" w:sz="12" w:space="0" w:color="auto"/>
              <w:bottom w:val="nil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A6B">
              <w:rPr>
                <w:rFonts w:ascii="Times New Roman" w:hAnsi="Times New Roman" w:cs="Times New Roman"/>
                <w:sz w:val="24"/>
                <w:szCs w:val="24"/>
              </w:rPr>
              <w:t>Fungos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pct15" w:color="auto" w:fill="auto"/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2" w:space="0" w:color="auto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200D" w:rsidRPr="00EF151C" w:rsidTr="00724EC6">
        <w:tc>
          <w:tcPr>
            <w:tcW w:w="3671" w:type="dxa"/>
            <w:tcBorders>
              <w:top w:val="nil"/>
              <w:lef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A6B">
              <w:rPr>
                <w:rFonts w:ascii="Times New Roman" w:hAnsi="Times New Roman" w:cs="Times New Roman"/>
                <w:sz w:val="24"/>
                <w:szCs w:val="24"/>
              </w:rPr>
              <w:t>Vírus</w:t>
            </w:r>
          </w:p>
        </w:tc>
        <w:tc>
          <w:tcPr>
            <w:tcW w:w="2551" w:type="dxa"/>
            <w:tcBorders>
              <w:top w:val="nil"/>
            </w:tcBorders>
          </w:tcPr>
          <w:p w:rsidR="0081200D" w:rsidRPr="00EF151C" w:rsidRDefault="00E66440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1200D" w:rsidRPr="00EF151C" w:rsidTr="00724EC6">
        <w:tc>
          <w:tcPr>
            <w:tcW w:w="367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6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1200D" w:rsidRPr="00EF151C" w:rsidTr="00724EC6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81200D" w:rsidRPr="008337BC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B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81200D" w:rsidRPr="00EF151C" w:rsidRDefault="0091651B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1200D" w:rsidRDefault="0081200D" w:rsidP="0081200D"/>
    <w:p w:rsidR="0081200D" w:rsidRDefault="0081200D" w:rsidP="0081200D"/>
    <w:p w:rsidR="0081200D" w:rsidRDefault="0081200D" w:rsidP="0081200D"/>
    <w:p w:rsidR="0081200D" w:rsidRDefault="0081200D" w:rsidP="0081200D"/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2409"/>
        <w:gridCol w:w="1418"/>
      </w:tblGrid>
      <w:tr w:rsidR="0081200D" w:rsidRPr="00EF151C" w:rsidTr="00BC1707">
        <w:tc>
          <w:tcPr>
            <w:tcW w:w="7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200D" w:rsidRPr="008337BC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BC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Tabela 4. Prevalência por desfecho clínico dos pacientes com úlcera córnea.</w:t>
            </w:r>
          </w:p>
        </w:tc>
      </w:tr>
      <w:tr w:rsidR="0081200D" w:rsidRPr="00EF151C" w:rsidTr="00BC1707">
        <w:tc>
          <w:tcPr>
            <w:tcW w:w="3813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:rsidR="0081200D" w:rsidRPr="003217C6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C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esfecho clínico</w:t>
            </w:r>
          </w:p>
        </w:tc>
        <w:tc>
          <w:tcPr>
            <w:tcW w:w="2409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:rsidR="0081200D" w:rsidRPr="003217C6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C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:rsidR="0081200D" w:rsidRPr="003217C6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81200D" w:rsidRPr="00EF151C" w:rsidTr="00BC1707">
        <w:tc>
          <w:tcPr>
            <w:tcW w:w="3813" w:type="dxa"/>
            <w:tcBorders>
              <w:top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A1">
              <w:rPr>
                <w:rFonts w:ascii="Times New Roman" w:hAnsi="Times New Roman" w:cs="Times New Roman"/>
                <w:sz w:val="24"/>
                <w:szCs w:val="24"/>
              </w:rPr>
              <w:t>Transplante de córnea</w:t>
            </w:r>
          </w:p>
        </w:tc>
        <w:tc>
          <w:tcPr>
            <w:tcW w:w="2409" w:type="dxa"/>
            <w:tcBorders>
              <w:top w:val="nil"/>
            </w:tcBorders>
          </w:tcPr>
          <w:p w:rsidR="0081200D" w:rsidRPr="00EF151C" w:rsidRDefault="00C01204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418" w:type="dxa"/>
            <w:tcBorders>
              <w:top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1200D" w:rsidRPr="00EF151C" w:rsidTr="00BC1707">
        <w:tc>
          <w:tcPr>
            <w:tcW w:w="3813" w:type="dxa"/>
            <w:tcBorders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A1">
              <w:rPr>
                <w:rFonts w:ascii="Times New Roman" w:hAnsi="Times New Roman" w:cs="Times New Roman"/>
                <w:sz w:val="24"/>
                <w:szCs w:val="24"/>
              </w:rPr>
              <w:t>Cirurgia</w:t>
            </w:r>
          </w:p>
        </w:tc>
        <w:tc>
          <w:tcPr>
            <w:tcW w:w="2409" w:type="dxa"/>
            <w:tcBorders>
              <w:bottom w:val="nil"/>
            </w:tcBorders>
          </w:tcPr>
          <w:p w:rsidR="0081200D" w:rsidRPr="00EF151C" w:rsidRDefault="00C01204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81200D" w:rsidRPr="00EF151C" w:rsidTr="00BC1707">
        <w:tc>
          <w:tcPr>
            <w:tcW w:w="3813" w:type="dxa"/>
            <w:tcBorders>
              <w:top w:val="nil"/>
              <w:bottom w:val="nil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A1">
              <w:rPr>
                <w:rFonts w:ascii="Times New Roman" w:hAnsi="Times New Roman" w:cs="Times New Roman"/>
                <w:sz w:val="24"/>
                <w:szCs w:val="24"/>
              </w:rPr>
              <w:t>Evisceração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C01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pct15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1200D" w:rsidRPr="00EF151C" w:rsidTr="00BC1707">
        <w:tc>
          <w:tcPr>
            <w:tcW w:w="3813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A1">
              <w:rPr>
                <w:rFonts w:ascii="Times New Roman" w:hAnsi="Times New Roman" w:cs="Times New Roman"/>
                <w:sz w:val="24"/>
                <w:szCs w:val="24"/>
              </w:rPr>
              <w:t>Melhora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1200D" w:rsidRPr="00EF151C" w:rsidRDefault="00C01204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6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200D" w:rsidRPr="00EF151C" w:rsidTr="00BC1707">
        <w:tc>
          <w:tcPr>
            <w:tcW w:w="3813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:rsidR="0081200D" w:rsidRPr="008337BC" w:rsidRDefault="0081200D" w:rsidP="00BC17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7B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:rsidR="0081200D" w:rsidRPr="00EF151C" w:rsidRDefault="0081200D" w:rsidP="00BC17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:rsidR="0081200D" w:rsidRPr="00EF151C" w:rsidRDefault="00AF2C98" w:rsidP="00BC17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1200D" w:rsidRDefault="0081200D" w:rsidP="0081200D"/>
    <w:p w:rsidR="0091537D" w:rsidRPr="0081200D" w:rsidRDefault="0091537D" w:rsidP="0081200D"/>
    <w:sectPr w:rsidR="0091537D" w:rsidRPr="0081200D" w:rsidSect="003C1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A0"/>
    <w:rsid w:val="001578A0"/>
    <w:rsid w:val="001946C8"/>
    <w:rsid w:val="001E60E4"/>
    <w:rsid w:val="003217C6"/>
    <w:rsid w:val="003305CA"/>
    <w:rsid w:val="00337D9F"/>
    <w:rsid w:val="0036759B"/>
    <w:rsid w:val="004B22E1"/>
    <w:rsid w:val="00586774"/>
    <w:rsid w:val="005D7E77"/>
    <w:rsid w:val="005F386A"/>
    <w:rsid w:val="005F572A"/>
    <w:rsid w:val="006362D7"/>
    <w:rsid w:val="007175B4"/>
    <w:rsid w:val="00724EC6"/>
    <w:rsid w:val="00782FD0"/>
    <w:rsid w:val="007A036F"/>
    <w:rsid w:val="007C2B9E"/>
    <w:rsid w:val="0081200D"/>
    <w:rsid w:val="0091537D"/>
    <w:rsid w:val="0091651B"/>
    <w:rsid w:val="00A324A7"/>
    <w:rsid w:val="00AF2C98"/>
    <w:rsid w:val="00B7096C"/>
    <w:rsid w:val="00BB56F6"/>
    <w:rsid w:val="00C01204"/>
    <w:rsid w:val="00C0266C"/>
    <w:rsid w:val="00C10BD0"/>
    <w:rsid w:val="00D42A6B"/>
    <w:rsid w:val="00D70DA1"/>
    <w:rsid w:val="00E66440"/>
    <w:rsid w:val="00EF151C"/>
    <w:rsid w:val="00F61B54"/>
    <w:rsid w:val="00FB41A7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5FB"/>
  <w15:chartTrackingRefBased/>
  <w15:docId w15:val="{FF3E08DC-910E-459A-B67B-AF0D057F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5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70D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0D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0D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0D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0DA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Scremin Boscolo Pereira</dc:creator>
  <cp:keywords/>
  <dc:description/>
  <cp:lastModifiedBy>Thiago Scremin Boscolo Pereira</cp:lastModifiedBy>
  <cp:revision>26</cp:revision>
  <dcterms:created xsi:type="dcterms:W3CDTF">2018-10-10T13:34:00Z</dcterms:created>
  <dcterms:modified xsi:type="dcterms:W3CDTF">2018-11-20T12:04:00Z</dcterms:modified>
</cp:coreProperties>
</file>