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CF" w:rsidRDefault="002459F2" w:rsidP="002459F2">
      <w:pPr>
        <w:spacing w:after="0" w:line="360" w:lineRule="auto"/>
        <w:jc w:val="center"/>
        <w:rPr>
          <w:rFonts w:ascii="Times New Roman" w:eastAsia="Arial" w:hAnsi="Times New Roman" w:cs="Times New Roman"/>
          <w:sz w:val="28"/>
          <w:szCs w:val="28"/>
        </w:rPr>
      </w:pPr>
      <w:r w:rsidRPr="002459F2">
        <w:rPr>
          <w:rFonts w:ascii="Times New Roman" w:eastAsia="Arial" w:hAnsi="Times New Roman" w:cs="Times New Roman"/>
          <w:b/>
          <w:sz w:val="28"/>
          <w:szCs w:val="28"/>
        </w:rPr>
        <w:t>TURISMO DE EVENTO</w:t>
      </w:r>
      <w:r>
        <w:rPr>
          <w:rFonts w:ascii="Times New Roman" w:eastAsia="Arial" w:hAnsi="Times New Roman" w:cs="Times New Roman"/>
          <w:b/>
          <w:sz w:val="28"/>
          <w:szCs w:val="28"/>
        </w:rPr>
        <w:t>S NO COMBATE À SAZONALIDADE</w:t>
      </w:r>
      <w:r w:rsidR="004851D0">
        <w:rPr>
          <w:rFonts w:ascii="Times New Roman" w:eastAsia="Arial" w:hAnsi="Times New Roman" w:cs="Times New Roman"/>
          <w:b/>
          <w:sz w:val="28"/>
          <w:szCs w:val="28"/>
        </w:rPr>
        <w:t xml:space="preserve">: </w:t>
      </w:r>
      <w:r w:rsidRPr="002459F2">
        <w:rPr>
          <w:rFonts w:ascii="Times New Roman" w:eastAsia="Arial" w:hAnsi="Times New Roman" w:cs="Times New Roman"/>
          <w:sz w:val="28"/>
          <w:szCs w:val="28"/>
        </w:rPr>
        <w:t>O FLORIPA CONECTA 2019</w:t>
      </w:r>
      <w:r w:rsidRPr="002459F2">
        <w:rPr>
          <w:rFonts w:ascii="Times New Roman" w:eastAsia="Arial" w:hAnsi="Times New Roman" w:cs="Times New Roman"/>
          <w:b/>
          <w:sz w:val="28"/>
          <w:szCs w:val="28"/>
        </w:rPr>
        <w:br/>
      </w:r>
    </w:p>
    <w:p w:rsidR="004851D0" w:rsidRPr="00313014" w:rsidRDefault="004851D0" w:rsidP="002459F2">
      <w:pPr>
        <w:spacing w:after="0" w:line="360" w:lineRule="auto"/>
        <w:jc w:val="center"/>
        <w:rPr>
          <w:rFonts w:ascii="Times New Roman" w:eastAsia="Arial" w:hAnsi="Times New Roman" w:cs="Times New Roman"/>
          <w:sz w:val="28"/>
          <w:szCs w:val="28"/>
          <w:lang w:val="en-US"/>
        </w:rPr>
      </w:pPr>
      <w:r w:rsidRPr="00313014">
        <w:rPr>
          <w:rFonts w:ascii="Times New Roman" w:eastAsia="Arial" w:hAnsi="Times New Roman" w:cs="Times New Roman"/>
          <w:sz w:val="28"/>
          <w:szCs w:val="28"/>
          <w:lang w:val="en-US"/>
        </w:rPr>
        <w:t>EVENT TOURISM TO COMBAT SEASONALITY: THE FLORIPA CONECTA 2019.</w:t>
      </w:r>
    </w:p>
    <w:p w:rsidR="00B011CF" w:rsidRPr="00313014" w:rsidRDefault="00B011CF" w:rsidP="002459F2">
      <w:pPr>
        <w:spacing w:after="0" w:line="360" w:lineRule="auto"/>
        <w:ind w:firstLine="1134"/>
        <w:jc w:val="center"/>
        <w:rPr>
          <w:rFonts w:ascii="Times New Roman" w:eastAsia="Arial" w:hAnsi="Times New Roman" w:cs="Times New Roman"/>
          <w:sz w:val="24"/>
          <w:szCs w:val="24"/>
          <w:lang w:val="en-US"/>
        </w:rPr>
      </w:pPr>
    </w:p>
    <w:p w:rsidR="004B12C3" w:rsidRPr="00313014" w:rsidRDefault="00551C6E" w:rsidP="00313014">
      <w:pPr>
        <w:spacing w:after="0" w:line="240" w:lineRule="auto"/>
        <w:jc w:val="both"/>
        <w:rPr>
          <w:rFonts w:ascii="Times New Roman" w:eastAsia="Arial" w:hAnsi="Times New Roman" w:cs="Times New Roman"/>
          <w:b/>
          <w:sz w:val="20"/>
          <w:szCs w:val="20"/>
        </w:rPr>
      </w:pPr>
      <w:r w:rsidRPr="00313014">
        <w:rPr>
          <w:rFonts w:ascii="Times New Roman" w:eastAsia="Arial" w:hAnsi="Times New Roman" w:cs="Times New Roman"/>
          <w:b/>
          <w:sz w:val="20"/>
          <w:szCs w:val="20"/>
        </w:rPr>
        <w:t>RESUMO</w:t>
      </w:r>
      <w:r w:rsidR="00313014" w:rsidRPr="00313014">
        <w:rPr>
          <w:rFonts w:ascii="Times New Roman" w:eastAsia="Arial" w:hAnsi="Times New Roman" w:cs="Times New Roman"/>
          <w:b/>
          <w:sz w:val="20"/>
          <w:szCs w:val="20"/>
        </w:rPr>
        <w:t xml:space="preserve">: </w:t>
      </w:r>
      <w:r w:rsidR="004B12C3" w:rsidRPr="00313014">
        <w:rPr>
          <w:rFonts w:ascii="Times New Roman" w:eastAsia="Arial" w:hAnsi="Times New Roman" w:cs="Times New Roman"/>
          <w:sz w:val="20"/>
          <w:szCs w:val="20"/>
        </w:rPr>
        <w:t>O movimento Floripa Conecta foi criado para unir diversos eventos em um único período, no mês de Agosto para, entre outras questões, diminuir o impacto negativo da baixa temporada em Florianópolis. O objetivo da pesquisa é verificar o perfil dos participantes, impactos econômicos e avaliação dos eventos do Floripa Conecta 2019. Para tanto, realizou-se uma pesquisa aplicada, descritiva, quantitativa. O instrumento utili</w:t>
      </w:r>
      <w:r w:rsidR="002E3165" w:rsidRPr="00313014">
        <w:rPr>
          <w:rFonts w:ascii="Times New Roman" w:eastAsia="Arial" w:hAnsi="Times New Roman" w:cs="Times New Roman"/>
          <w:sz w:val="20"/>
          <w:szCs w:val="20"/>
        </w:rPr>
        <w:t xml:space="preserve">zado foi o questionário. </w:t>
      </w:r>
      <w:r w:rsidR="004B12C3" w:rsidRPr="00313014">
        <w:rPr>
          <w:rFonts w:ascii="Times New Roman" w:eastAsia="Arial" w:hAnsi="Times New Roman" w:cs="Times New Roman"/>
          <w:sz w:val="20"/>
          <w:szCs w:val="20"/>
        </w:rPr>
        <w:t>A amostra foi composta por 1025 participantes de 10 eventos que participaram do movimento. Os principais resultados indicam que 30% do público dos eventos eram turistas. Do ponto de vista da qualidade</w:t>
      </w:r>
      <w:r w:rsidR="002E3165" w:rsidRPr="00313014">
        <w:rPr>
          <w:rFonts w:ascii="Times New Roman" w:eastAsia="Arial" w:hAnsi="Times New Roman" w:cs="Times New Roman"/>
          <w:sz w:val="20"/>
          <w:szCs w:val="20"/>
        </w:rPr>
        <w:t>,</w:t>
      </w:r>
      <w:r w:rsidR="004B12C3" w:rsidRPr="00313014">
        <w:rPr>
          <w:rFonts w:ascii="Times New Roman" w:eastAsia="Arial" w:hAnsi="Times New Roman" w:cs="Times New Roman"/>
          <w:sz w:val="20"/>
          <w:szCs w:val="20"/>
        </w:rPr>
        <w:t xml:space="preserve"> os indicadores de atendimento, limpeza, infraestrutura e segurança obtiveram as melhores médias. Os indicadores de tecnologia, mobilidade e sinalização obtiveram as piores. </w:t>
      </w:r>
      <w:r w:rsidR="002E3165" w:rsidRPr="00313014">
        <w:rPr>
          <w:rFonts w:ascii="Times New Roman" w:eastAsia="Arial" w:hAnsi="Times New Roman" w:cs="Times New Roman"/>
          <w:sz w:val="20"/>
          <w:szCs w:val="20"/>
        </w:rPr>
        <w:t>A</w:t>
      </w:r>
      <w:r w:rsidR="004B12C3" w:rsidRPr="00313014">
        <w:rPr>
          <w:rFonts w:ascii="Times New Roman" w:eastAsia="Arial" w:hAnsi="Times New Roman" w:cs="Times New Roman"/>
          <w:sz w:val="20"/>
          <w:szCs w:val="20"/>
        </w:rPr>
        <w:t xml:space="preserve"> média</w:t>
      </w:r>
      <w:r w:rsidR="002E3165" w:rsidRPr="00313014">
        <w:rPr>
          <w:rFonts w:ascii="Times New Roman" w:eastAsia="Arial" w:hAnsi="Times New Roman" w:cs="Times New Roman"/>
          <w:sz w:val="20"/>
          <w:szCs w:val="20"/>
        </w:rPr>
        <w:t xml:space="preserve"> de avaliação</w:t>
      </w:r>
      <w:r w:rsidR="004B12C3" w:rsidRPr="00313014">
        <w:rPr>
          <w:rFonts w:ascii="Times New Roman" w:eastAsia="Arial" w:hAnsi="Times New Roman" w:cs="Times New Roman"/>
          <w:sz w:val="20"/>
          <w:szCs w:val="20"/>
        </w:rPr>
        <w:t xml:space="preserve"> final foi de 8,19 (máximo 10). </w:t>
      </w:r>
    </w:p>
    <w:p w:rsidR="004B12C3" w:rsidRPr="002E3165" w:rsidRDefault="004B12C3" w:rsidP="002E3165">
      <w:pPr>
        <w:spacing w:after="0" w:line="240" w:lineRule="auto"/>
        <w:jc w:val="both"/>
        <w:rPr>
          <w:rFonts w:ascii="Times New Roman" w:eastAsia="Arial" w:hAnsi="Times New Roman" w:cs="Times New Roman"/>
          <w:sz w:val="20"/>
          <w:szCs w:val="20"/>
        </w:rPr>
      </w:pPr>
    </w:p>
    <w:p w:rsidR="00B011CF" w:rsidRPr="002E3165" w:rsidRDefault="00551C6E" w:rsidP="002E3165">
      <w:pPr>
        <w:spacing w:after="0" w:line="240" w:lineRule="auto"/>
        <w:jc w:val="both"/>
        <w:rPr>
          <w:rFonts w:ascii="Times New Roman" w:eastAsia="Arial" w:hAnsi="Times New Roman" w:cs="Times New Roman"/>
          <w:sz w:val="20"/>
          <w:szCs w:val="20"/>
        </w:rPr>
      </w:pPr>
      <w:r w:rsidRPr="002E3165">
        <w:rPr>
          <w:rFonts w:ascii="Times New Roman" w:eastAsia="Arial" w:hAnsi="Times New Roman" w:cs="Times New Roman"/>
          <w:b/>
          <w:sz w:val="20"/>
          <w:szCs w:val="20"/>
        </w:rPr>
        <w:t xml:space="preserve">Palavras-chave: </w:t>
      </w:r>
      <w:r w:rsidR="004B12C3" w:rsidRPr="002E3165">
        <w:rPr>
          <w:rFonts w:ascii="Times New Roman" w:eastAsia="Arial" w:hAnsi="Times New Roman" w:cs="Times New Roman"/>
          <w:sz w:val="20"/>
          <w:szCs w:val="20"/>
        </w:rPr>
        <w:t>turismo de eventos; Floripa Conecta; Sazonalidade; Tourqual; Perfil do Turista</w:t>
      </w:r>
    </w:p>
    <w:p w:rsidR="004851D0" w:rsidRPr="002E3165" w:rsidRDefault="004851D0" w:rsidP="002E3165">
      <w:pPr>
        <w:spacing w:after="0" w:line="240" w:lineRule="auto"/>
        <w:jc w:val="both"/>
        <w:rPr>
          <w:rFonts w:ascii="Times New Roman" w:eastAsia="Arial" w:hAnsi="Times New Roman" w:cs="Times New Roman"/>
          <w:b/>
          <w:sz w:val="20"/>
          <w:szCs w:val="20"/>
        </w:rPr>
      </w:pPr>
    </w:p>
    <w:p w:rsidR="002E3165" w:rsidRPr="00313014" w:rsidRDefault="004851D0" w:rsidP="002E3165">
      <w:pPr>
        <w:spacing w:after="0" w:line="240" w:lineRule="auto"/>
        <w:jc w:val="both"/>
        <w:rPr>
          <w:rFonts w:ascii="Times New Roman" w:eastAsia="Arial" w:hAnsi="Times New Roman" w:cs="Times New Roman"/>
          <w:b/>
          <w:sz w:val="20"/>
          <w:szCs w:val="20"/>
          <w:lang w:val="en-US"/>
        </w:rPr>
      </w:pPr>
      <w:r w:rsidRPr="00313014">
        <w:rPr>
          <w:rFonts w:ascii="Times New Roman" w:eastAsia="Arial" w:hAnsi="Times New Roman" w:cs="Times New Roman"/>
          <w:b/>
          <w:sz w:val="20"/>
          <w:szCs w:val="20"/>
          <w:lang w:val="en-US"/>
        </w:rPr>
        <w:t>ABSTRACT</w:t>
      </w:r>
      <w:r w:rsidR="00313014">
        <w:rPr>
          <w:rFonts w:ascii="Times New Roman" w:eastAsia="Arial" w:hAnsi="Times New Roman" w:cs="Times New Roman"/>
          <w:b/>
          <w:sz w:val="20"/>
          <w:szCs w:val="20"/>
          <w:lang w:val="en-US"/>
        </w:rPr>
        <w:t xml:space="preserve">: </w:t>
      </w:r>
      <w:r w:rsidR="002E3165" w:rsidRPr="00313014">
        <w:rPr>
          <w:rFonts w:ascii="Times New Roman" w:eastAsia="Arial" w:hAnsi="Times New Roman" w:cs="Times New Roman"/>
          <w:sz w:val="20"/>
          <w:szCs w:val="20"/>
          <w:lang w:val="en-US"/>
        </w:rPr>
        <w:t>The FloripaConecta movement was created for several events in a single period, in the month of August to, among other issues, reduce the negative impact of the low season in Florianópolis. The objective of the research is to verify the profile of the participants, economic impacts and evaluation of the events of FloripaConecta 2019. To do so, carry out an applied, descriptive and quantitative research. The instrument used was the questionnaire. A sample consisted of 1025 participants from 10 events that participated in the movement. The main results indicate that 30% of the public at the events were tourists. Quality point of view, service, cleaning, infrastructure and security indicators obtained as best media. The technology, mobility and signaling indicators obtained as above. The final evaluation average was 8.19 (maximum 10).</w:t>
      </w:r>
    </w:p>
    <w:p w:rsidR="00E86AF3" w:rsidRPr="00313014" w:rsidRDefault="00E86AF3" w:rsidP="002E3165">
      <w:pPr>
        <w:spacing w:after="0" w:line="240" w:lineRule="auto"/>
        <w:jc w:val="both"/>
        <w:rPr>
          <w:rFonts w:ascii="Times New Roman" w:eastAsia="Arial" w:hAnsi="Times New Roman" w:cs="Times New Roman"/>
          <w:sz w:val="20"/>
          <w:szCs w:val="20"/>
          <w:lang w:val="en-US"/>
        </w:rPr>
      </w:pPr>
    </w:p>
    <w:p w:rsidR="004851D0" w:rsidRPr="00313014" w:rsidRDefault="004851D0" w:rsidP="002E3165">
      <w:pPr>
        <w:spacing w:after="0" w:line="240" w:lineRule="auto"/>
        <w:jc w:val="both"/>
        <w:rPr>
          <w:rFonts w:ascii="Times New Roman" w:eastAsia="Arial" w:hAnsi="Times New Roman" w:cs="Times New Roman"/>
          <w:sz w:val="20"/>
          <w:szCs w:val="20"/>
          <w:lang w:val="en-US"/>
        </w:rPr>
      </w:pPr>
      <w:r w:rsidRPr="00313014">
        <w:rPr>
          <w:rFonts w:ascii="Times New Roman" w:eastAsia="Arial" w:hAnsi="Times New Roman" w:cs="Times New Roman"/>
          <w:b/>
          <w:sz w:val="20"/>
          <w:szCs w:val="20"/>
          <w:lang w:val="en-US"/>
        </w:rPr>
        <w:t>Key-words</w:t>
      </w:r>
      <w:r w:rsidR="00E86AF3" w:rsidRPr="00313014">
        <w:rPr>
          <w:rFonts w:ascii="Times New Roman" w:eastAsia="Arial" w:hAnsi="Times New Roman" w:cs="Times New Roman"/>
          <w:b/>
          <w:sz w:val="20"/>
          <w:szCs w:val="20"/>
          <w:lang w:val="en-US"/>
        </w:rPr>
        <w:t xml:space="preserve">: </w:t>
      </w:r>
      <w:r w:rsidR="00E86AF3" w:rsidRPr="00313014">
        <w:rPr>
          <w:rFonts w:ascii="Times New Roman" w:eastAsia="Arial" w:hAnsi="Times New Roman" w:cs="Times New Roman"/>
          <w:sz w:val="20"/>
          <w:szCs w:val="20"/>
          <w:lang w:val="en-US"/>
        </w:rPr>
        <w:t>Event</w:t>
      </w:r>
      <w:r w:rsidR="00313014">
        <w:rPr>
          <w:rFonts w:ascii="Times New Roman" w:eastAsia="Arial" w:hAnsi="Times New Roman" w:cs="Times New Roman"/>
          <w:sz w:val="20"/>
          <w:szCs w:val="20"/>
          <w:lang w:val="en-US"/>
        </w:rPr>
        <w:t xml:space="preserve"> </w:t>
      </w:r>
      <w:r w:rsidR="00E86AF3" w:rsidRPr="00313014">
        <w:rPr>
          <w:rFonts w:ascii="Times New Roman" w:eastAsia="Arial" w:hAnsi="Times New Roman" w:cs="Times New Roman"/>
          <w:sz w:val="20"/>
          <w:szCs w:val="20"/>
          <w:lang w:val="en-US"/>
        </w:rPr>
        <w:t>tourism; Floripa Conecta; Seasonality; Tourqual; turista profile.</w:t>
      </w:r>
    </w:p>
    <w:p w:rsidR="004851D0" w:rsidRPr="00313014" w:rsidRDefault="004851D0" w:rsidP="004851D0">
      <w:pPr>
        <w:spacing w:after="0" w:line="360" w:lineRule="auto"/>
        <w:jc w:val="both"/>
        <w:rPr>
          <w:rFonts w:ascii="Times New Roman" w:eastAsia="Arial" w:hAnsi="Times New Roman" w:cs="Times New Roman"/>
          <w:b/>
          <w:sz w:val="24"/>
          <w:szCs w:val="24"/>
          <w:lang w:val="en-US"/>
        </w:rPr>
      </w:pPr>
    </w:p>
    <w:p w:rsidR="00B011CF" w:rsidRPr="004851D0" w:rsidRDefault="00551C6E" w:rsidP="004851D0">
      <w:pPr>
        <w:pStyle w:val="PargrafodaLista"/>
        <w:numPr>
          <w:ilvl w:val="0"/>
          <w:numId w:val="1"/>
        </w:numPr>
        <w:spacing w:after="0" w:line="360" w:lineRule="auto"/>
        <w:jc w:val="both"/>
        <w:rPr>
          <w:rFonts w:ascii="Times New Roman" w:eastAsia="Arial" w:hAnsi="Times New Roman" w:cs="Times New Roman"/>
          <w:b/>
          <w:sz w:val="24"/>
          <w:szCs w:val="24"/>
        </w:rPr>
      </w:pPr>
      <w:r w:rsidRPr="004851D0">
        <w:rPr>
          <w:rFonts w:ascii="Times New Roman" w:eastAsia="Arial" w:hAnsi="Times New Roman" w:cs="Times New Roman"/>
          <w:b/>
          <w:sz w:val="24"/>
          <w:szCs w:val="24"/>
        </w:rPr>
        <w:t>INTRODUÇÃO</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O setor turístico constitui-se</w:t>
      </w:r>
      <w:r w:rsidR="005910BC" w:rsidRPr="002459F2">
        <w:rPr>
          <w:rFonts w:ascii="Times New Roman" w:eastAsia="Arial" w:hAnsi="Times New Roman" w:cs="Times New Roman"/>
          <w:sz w:val="24"/>
          <w:szCs w:val="24"/>
        </w:rPr>
        <w:t xml:space="preserve"> com o passar de cada dia como um dos</w:t>
      </w:r>
      <w:r w:rsidRPr="002459F2">
        <w:rPr>
          <w:rFonts w:ascii="Times New Roman" w:eastAsia="Arial" w:hAnsi="Times New Roman" w:cs="Times New Roman"/>
          <w:sz w:val="24"/>
          <w:szCs w:val="24"/>
        </w:rPr>
        <w:t xml:space="preserve"> maior</w:t>
      </w:r>
      <w:r w:rsidR="005910BC" w:rsidRPr="002459F2">
        <w:rPr>
          <w:rFonts w:ascii="Times New Roman" w:eastAsia="Arial" w:hAnsi="Times New Roman" w:cs="Times New Roman"/>
          <w:sz w:val="24"/>
          <w:szCs w:val="24"/>
        </w:rPr>
        <w:t>es</w:t>
      </w:r>
      <w:r w:rsidRPr="002459F2">
        <w:rPr>
          <w:rFonts w:ascii="Times New Roman" w:eastAsia="Arial" w:hAnsi="Times New Roman" w:cs="Times New Roman"/>
          <w:sz w:val="24"/>
          <w:szCs w:val="24"/>
        </w:rPr>
        <w:t xml:space="preserve"> gerad</w:t>
      </w:r>
      <w:r w:rsidR="005910BC" w:rsidRPr="002459F2">
        <w:rPr>
          <w:rFonts w:ascii="Times New Roman" w:eastAsia="Arial" w:hAnsi="Times New Roman" w:cs="Times New Roman"/>
          <w:sz w:val="24"/>
          <w:szCs w:val="24"/>
        </w:rPr>
        <w:t xml:space="preserve">ores de emprego e renda do mundo. No Brasil a </w:t>
      </w:r>
      <w:r w:rsidRPr="002459F2">
        <w:rPr>
          <w:rFonts w:ascii="Times New Roman" w:eastAsia="Arial" w:hAnsi="Times New Roman" w:cs="Times New Roman"/>
          <w:sz w:val="24"/>
          <w:szCs w:val="24"/>
        </w:rPr>
        <w:t xml:space="preserve">atividade turística ainda é vista como </w:t>
      </w:r>
      <w:r w:rsidR="005910BC" w:rsidRPr="002459F2">
        <w:rPr>
          <w:rFonts w:ascii="Times New Roman" w:eastAsia="Arial" w:hAnsi="Times New Roman" w:cs="Times New Roman"/>
          <w:sz w:val="24"/>
          <w:szCs w:val="24"/>
        </w:rPr>
        <w:t>pouco impactante para as análises econômicas a</w:t>
      </w:r>
      <w:bookmarkStart w:id="0" w:name="_GoBack"/>
      <w:bookmarkEnd w:id="0"/>
      <w:r w:rsidR="005910BC" w:rsidRPr="002459F2">
        <w:rPr>
          <w:rFonts w:ascii="Times New Roman" w:eastAsia="Arial" w:hAnsi="Times New Roman" w:cs="Times New Roman"/>
          <w:sz w:val="24"/>
          <w:szCs w:val="24"/>
        </w:rPr>
        <w:t xml:space="preserve">mplas </w:t>
      </w:r>
      <w:r w:rsidRPr="002459F2">
        <w:rPr>
          <w:rFonts w:ascii="Times New Roman" w:eastAsia="Arial" w:hAnsi="Times New Roman" w:cs="Times New Roman"/>
          <w:sz w:val="24"/>
          <w:szCs w:val="24"/>
        </w:rPr>
        <w:t>e pela falta de métricas elaboradas para aferir seus reais valores</w:t>
      </w:r>
      <w:r w:rsidR="005910BC" w:rsidRPr="002459F2">
        <w:rPr>
          <w:rFonts w:ascii="Times New Roman" w:eastAsia="Arial" w:hAnsi="Times New Roman" w:cs="Times New Roman"/>
          <w:sz w:val="24"/>
          <w:szCs w:val="24"/>
        </w:rPr>
        <w:t>,</w:t>
      </w:r>
      <w:r w:rsidRPr="002459F2">
        <w:rPr>
          <w:rFonts w:ascii="Times New Roman" w:eastAsia="Arial" w:hAnsi="Times New Roman" w:cs="Times New Roman"/>
          <w:sz w:val="24"/>
          <w:szCs w:val="24"/>
        </w:rPr>
        <w:t xml:space="preserve"> o fenômeno do turismo tem sido erroneamente interpretado (OLIVEIRA, 2019).</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Essa dificuldade advém do turismo não ser uma atividade geradora de um único produto, ela de maneira segmentada, detém distintas ofertas e demandas, coexistindo diversas frentes, como o turismo de compras, ecoturismo, enoturismo, turismo de aventura e, entre outras, o turismo de eventos, que segundo Montes e Coriolano (2003), é uma vertente que sofre uma expansão diária no mercado. Desse segmento participam diversos públicos, de diversas classes sociais e regiões, onde a motivação principal da viagem é o evento em sua essência.</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lastRenderedPageBreak/>
        <w:t>Em análise pormenorizada, percebe-se diversificadas tipologias de eventos: sociais, corporativos, técnico-científicos, etc. Entretanto, os eventos de maior notoriedade são os congressos, convenções, feiras e seminários, nos quais geralmente participam do evento algum membro ou representante de instituições e corporações que atuam no mercado de foco do evento. Por vir a ocorrer em prazos menores e, por vezes, no decorrer da semana, o turismo de eventos não está coligado à sazonalidade. Para além disso, o custo médio de um turista de eventos é maior e esses gastos são muitas vezes custeados pela instituição ou corporação em que este turista se encontra inserido (MUNHOZ, 2019).</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Neste cenário, segundo a </w:t>
      </w:r>
      <w:r w:rsidRPr="002459F2">
        <w:rPr>
          <w:rFonts w:ascii="Times New Roman" w:eastAsia="Arial" w:hAnsi="Times New Roman" w:cs="Times New Roman"/>
          <w:i/>
          <w:sz w:val="24"/>
          <w:szCs w:val="24"/>
        </w:rPr>
        <w:t>InternationalCongressandConventionAssociation</w:t>
      </w:r>
      <w:r w:rsidRPr="002459F2">
        <w:rPr>
          <w:rFonts w:ascii="Times New Roman" w:eastAsia="Arial" w:hAnsi="Times New Roman" w:cs="Times New Roman"/>
          <w:sz w:val="24"/>
          <w:szCs w:val="24"/>
        </w:rPr>
        <w:t>- ICCA (2019), o Brasil ocupa a 17ª posição do ranking de países sede dos eventos internacionais. Entretanto, o Brasil já ocupou a 8ª e a 7ª posição no mesmo ranking, nos anos de 2007 e 2008, respectivamente. Contudo, a capital catarinense, Florianópolis, vem sido incorporada como destino para turismo de eventos a nível Brasil, e até mesmo mundial. Esse incorporamento deu-se início em 1998 a partir da inauguração do centro de convenções da cidade, o Centro Sul, como promessa de um local adequado para elevar a Ilha da Magia como cidade-sede de diversificados eventos (LINS, 2000).</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 realização de diversos eventos em Florianópolis, principalmente de cunho técnico-científico e/ou de inovação, é o reflexo da realidade da cidade com a instalação de diversas empresas de tecnologia e inovação e também pelas experiências exitosas das diversas instituições de ensino, como a UFSC - Universidade Federal de Santa Catarina, o IFSC - Instituto Federal de Santa Catarina e a UDESC - Universidade do Estado de Santa Catarina, entre outras. Com esses fatores a famosa “Ilha da Magia” também passou a ser reconhecida internacionalmente, também, como a “Ilha do Silício” (BBC, 2009).</w:t>
      </w:r>
    </w:p>
    <w:p w:rsidR="00B011CF" w:rsidRPr="002459F2" w:rsidRDefault="00551C6E" w:rsidP="002459F2">
      <w:pPr>
        <w:spacing w:after="0" w:line="360" w:lineRule="auto"/>
        <w:ind w:firstLine="1134"/>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rPr>
        <w:t xml:space="preserve">Dessa forma, desde 2016 a Rede de Inovação de Florianópolis promove o “Movimento Floripa Conecta”, que consiste em ações de conexão entre os setores públicos, privados por meio de diversificados eventos na cidade de Florianópolis e projetado com o objetivo de fortalecer o desenvolvimento econômico da região da Grande Florianópolis, bem como realizar um elo com os atores da tecnologia, do turismo e da economia criativa. As inspirações provém do evento SXSW - </w:t>
      </w:r>
      <w:r w:rsidRPr="002459F2">
        <w:rPr>
          <w:rFonts w:ascii="Times New Roman" w:eastAsia="Arial" w:hAnsi="Times New Roman" w:cs="Times New Roman"/>
          <w:i/>
          <w:sz w:val="24"/>
          <w:szCs w:val="24"/>
        </w:rPr>
        <w:t xml:space="preserve">South bySouthwest, </w:t>
      </w:r>
      <w:r w:rsidRPr="002459F2">
        <w:rPr>
          <w:rFonts w:ascii="Times New Roman" w:eastAsia="Arial" w:hAnsi="Times New Roman" w:cs="Times New Roman"/>
          <w:sz w:val="24"/>
          <w:szCs w:val="24"/>
        </w:rPr>
        <w:t xml:space="preserve">realizado na cidade Austin, capital do Texas (Estados Unidos), que é considerado a maior feira de criatividade, inovação, inteligência artificial e interatividade do mundo </w:t>
      </w:r>
      <w:r w:rsidRPr="002459F2">
        <w:rPr>
          <w:rFonts w:ascii="Times New Roman" w:eastAsia="Arial" w:hAnsi="Times New Roman" w:cs="Times New Roman"/>
          <w:sz w:val="24"/>
          <w:szCs w:val="24"/>
          <w:highlight w:val="white"/>
        </w:rPr>
        <w:t>(LEIPNITZ, 2019).</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highlight w:val="white"/>
        </w:rPr>
        <w:t xml:space="preserve">Para o movimento, Florianópolis é naturalmente ideal para o desenvolvimento econômico, através de recursos naturais, com suas mais de quarenta praias e parques e elementos imateriais como a cultura e gastronomia que fortalece o turismo e fomenta a </w:t>
      </w:r>
      <w:r w:rsidRPr="002459F2">
        <w:rPr>
          <w:rFonts w:ascii="Times New Roman" w:eastAsia="Arial" w:hAnsi="Times New Roman" w:cs="Times New Roman"/>
          <w:sz w:val="24"/>
          <w:szCs w:val="24"/>
          <w:highlight w:val="white"/>
        </w:rPr>
        <w:lastRenderedPageBreak/>
        <w:t>tecnologia. Assim, essas peculiaridades unidas, promovem a cidade ao cenário das Cidades Criativas, usufruindo os desafios e as riquezas locais e as transformam em motivo de dinamismo, criatividade, inovação e crescimento. Desta forma; “</w:t>
      </w:r>
      <w:r w:rsidRPr="002459F2">
        <w:rPr>
          <w:rFonts w:ascii="Times New Roman" w:eastAsia="Arial" w:hAnsi="Times New Roman" w:cs="Times New Roman"/>
          <w:i/>
          <w:sz w:val="24"/>
          <w:szCs w:val="24"/>
          <w:highlight w:val="white"/>
        </w:rPr>
        <w:t xml:space="preserve">Floripa constrói, colabora, colore, converge, conforta, coopera, conquista, compartilha, Floripa CONECTA” </w:t>
      </w:r>
      <w:r w:rsidRPr="002459F2">
        <w:rPr>
          <w:rFonts w:ascii="Times New Roman" w:eastAsia="Arial" w:hAnsi="Times New Roman" w:cs="Times New Roman"/>
          <w:sz w:val="24"/>
          <w:szCs w:val="24"/>
          <w:highlight w:val="white"/>
        </w:rPr>
        <w:t>(FLORIPA CONECTA, 2019).</w:t>
      </w:r>
    </w:p>
    <w:p w:rsidR="00B011CF" w:rsidRPr="002459F2" w:rsidRDefault="005910BC"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 partir do exposto, chegou-se a pergunta problema de pesquisa: Qual o impacto, perfil do participante e avaliação do Floripa Conecta 2019? Para tanto, traçou-se o objetivo geral da pesquisa como sendo: verificar o perfil dos participantes, impactos econômicos e avaliação dos eventos do Floripa Conecta 2019.</w:t>
      </w:r>
    </w:p>
    <w:p w:rsidR="00B011CF" w:rsidRPr="002459F2" w:rsidRDefault="00B011CF" w:rsidP="002459F2">
      <w:pPr>
        <w:pBdr>
          <w:top w:val="nil"/>
          <w:left w:val="nil"/>
          <w:bottom w:val="nil"/>
          <w:right w:val="nil"/>
          <w:between w:val="nil"/>
        </w:pBdr>
        <w:spacing w:after="0" w:line="360" w:lineRule="auto"/>
        <w:ind w:firstLine="1134"/>
        <w:jc w:val="both"/>
        <w:rPr>
          <w:rFonts w:ascii="Times New Roman" w:eastAsia="Arial" w:hAnsi="Times New Roman" w:cs="Times New Roman"/>
          <w:b/>
          <w:sz w:val="24"/>
          <w:szCs w:val="24"/>
        </w:rPr>
      </w:pPr>
    </w:p>
    <w:p w:rsidR="00B011CF" w:rsidRPr="004851D0" w:rsidRDefault="00551C6E" w:rsidP="004851D0">
      <w:pPr>
        <w:pStyle w:val="PargrafodaLista"/>
        <w:numPr>
          <w:ilvl w:val="0"/>
          <w:numId w:val="1"/>
        </w:numPr>
        <w:pBdr>
          <w:top w:val="nil"/>
          <w:left w:val="nil"/>
          <w:bottom w:val="nil"/>
          <w:right w:val="nil"/>
          <w:between w:val="nil"/>
        </w:pBdr>
        <w:spacing w:after="0" w:line="360" w:lineRule="auto"/>
        <w:jc w:val="both"/>
        <w:rPr>
          <w:rFonts w:ascii="Times New Roman" w:eastAsia="Arial" w:hAnsi="Times New Roman" w:cs="Times New Roman"/>
          <w:b/>
          <w:sz w:val="24"/>
          <w:szCs w:val="24"/>
        </w:rPr>
      </w:pPr>
      <w:r w:rsidRPr="004851D0">
        <w:rPr>
          <w:rFonts w:ascii="Times New Roman" w:eastAsia="Arial" w:hAnsi="Times New Roman" w:cs="Times New Roman"/>
          <w:b/>
          <w:sz w:val="24"/>
          <w:szCs w:val="24"/>
        </w:rPr>
        <w:t>FUNDAMENTAÇÃO TEÓRICA</w:t>
      </w:r>
    </w:p>
    <w:p w:rsidR="00D86C4E" w:rsidRPr="002459F2" w:rsidRDefault="00D86C4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O turismo de eventos pode ser considerado como o objetivo da atividade turística, tendo interesse dos participantes em aspectos profissionais ou culturais e é compreendida como uma das atividades que mais crescem atualmente (</w:t>
      </w:r>
      <w:r w:rsidRPr="002459F2">
        <w:rPr>
          <w:rFonts w:ascii="Times New Roman" w:eastAsia="Arial" w:hAnsi="Times New Roman" w:cs="Times New Roman"/>
          <w:sz w:val="24"/>
          <w:szCs w:val="24"/>
          <w:highlight w:val="white"/>
        </w:rPr>
        <w:t>COUTINHO; COUTINHO</w:t>
      </w:r>
      <w:r w:rsidRPr="002459F2">
        <w:rPr>
          <w:rFonts w:ascii="Times New Roman" w:eastAsia="Arial" w:hAnsi="Times New Roman" w:cs="Times New Roman"/>
          <w:sz w:val="24"/>
          <w:szCs w:val="24"/>
        </w:rPr>
        <w:t>, 2007). Trata-se especificamente das campanhas em marketing para potencializar um destino ou local turístico, relacionando a criação de imagem desses locais e captando público para o crescimento econômico e de infraestrutura (GETZ; WICKS, 1993). Corrobora Coutinho e Coutinho (2007) ao afirmarem que o setor de eventos no turismo é um dos canais mais completos de divulgação de uma localidade pois engloba toda a estrutura e infraestrutura da cidade. Destaca-se como tendência para destinos que buscam movimentar a economia, política e sociabilidade do local que está inserido (MARUJO, 2012).</w:t>
      </w:r>
    </w:p>
    <w:p w:rsidR="00D86C4E" w:rsidRPr="002459F2" w:rsidRDefault="00D86C4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Por movimentar pessoas em diferentes períodos, os eventos são atividades consideradas fundamentais para criar visibilidade de um destino, melhorar a imagem e combater a sazonalidade (MARUJO, 2014).</w:t>
      </w:r>
    </w:p>
    <w:p w:rsidR="00D86C4E" w:rsidRPr="002459F2" w:rsidRDefault="00D86C4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Para entender o conceito de sazonalidade no turismo, trata-se da diminuição do fluxo de turistas em determinada época do ano, apresentado crise à atividade e ao destino turístico (MEDEIROS, 2007). Para Teixeira (1991), a sazonalidade implica no volume e na direção dos turistas.</w:t>
      </w:r>
    </w:p>
    <w:p w:rsidR="00D86C4E" w:rsidRPr="002459F2" w:rsidRDefault="00D86C4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O turismo de eventos assim vêm como um grande potencial para o combate a sazonalidade dos locais, já que aumenta o fluxo de turistas tanto do próprio país quanto do mundo e impacta economicamente em toda a cadeia de serviços turísticos do destino que está inserido (COUTINHO; COUTINHO, 2007). Além disso, refere-se ao aumento das receitas, número de empregos, oportunidades sociais e distribuição de renda para a população do seu entorno (MATIAS, 2013).</w:t>
      </w:r>
    </w:p>
    <w:p w:rsidR="00D86C4E" w:rsidRPr="002459F2" w:rsidRDefault="00D86C4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lastRenderedPageBreak/>
        <w:t>Por esse modo, os eventos podem ser considerados como geradores de uma série de benefícios (MARUJO, 2015) e por isso precisam fornecer qualidade subjetiva as expectativas dos seus consumidores.</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Frente a importância cada vez maior </w:t>
      </w:r>
      <w:r w:rsidR="001401A5" w:rsidRPr="002459F2">
        <w:rPr>
          <w:rFonts w:ascii="Times New Roman" w:eastAsia="Arial" w:hAnsi="Times New Roman" w:cs="Times New Roman"/>
          <w:sz w:val="24"/>
          <w:szCs w:val="24"/>
        </w:rPr>
        <w:t>do</w:t>
      </w:r>
      <w:r w:rsidRPr="002459F2">
        <w:rPr>
          <w:rFonts w:ascii="Times New Roman" w:eastAsia="Arial" w:hAnsi="Times New Roman" w:cs="Times New Roman"/>
          <w:sz w:val="24"/>
          <w:szCs w:val="24"/>
        </w:rPr>
        <w:t xml:space="preserve"> setor de serviços, </w:t>
      </w:r>
      <w:r w:rsidR="001401A5" w:rsidRPr="002459F2">
        <w:rPr>
          <w:rFonts w:ascii="Times New Roman" w:eastAsia="Arial" w:hAnsi="Times New Roman" w:cs="Times New Roman"/>
          <w:sz w:val="24"/>
          <w:szCs w:val="24"/>
        </w:rPr>
        <w:t>torna-se relevante</w:t>
      </w:r>
      <w:r w:rsidRPr="002459F2">
        <w:rPr>
          <w:rFonts w:ascii="Times New Roman" w:eastAsia="Arial" w:hAnsi="Times New Roman" w:cs="Times New Roman"/>
          <w:sz w:val="24"/>
          <w:szCs w:val="24"/>
        </w:rPr>
        <w:t xml:space="preserve"> compreender que a qualidade nos serviços </w:t>
      </w:r>
      <w:r w:rsidR="001401A5" w:rsidRPr="002459F2">
        <w:rPr>
          <w:rFonts w:ascii="Times New Roman" w:eastAsia="Arial" w:hAnsi="Times New Roman" w:cs="Times New Roman"/>
          <w:sz w:val="24"/>
          <w:szCs w:val="24"/>
        </w:rPr>
        <w:t>prestados vem tomando grandes proporções</w:t>
      </w:r>
      <w:r w:rsidRPr="002459F2">
        <w:rPr>
          <w:rFonts w:ascii="Times New Roman" w:eastAsia="Arial" w:hAnsi="Times New Roman" w:cs="Times New Roman"/>
          <w:sz w:val="24"/>
          <w:szCs w:val="24"/>
        </w:rPr>
        <w:t xml:space="preserve"> como peça chave na diferenciação do setor. As empresas devem buscar constantemente a qualidade de seus serviços e a satisfação de seus consumidores (BRANCO; RIBEIRO; TINOCO, 2010), a fim de garantir a lealdade de seus clientes (DE MATOS; VEIGA, 2000).</w:t>
      </w:r>
    </w:p>
    <w:p w:rsidR="00B011CF" w:rsidRPr="002459F2" w:rsidRDefault="00D86C4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Q</w:t>
      </w:r>
      <w:r w:rsidR="00551C6E" w:rsidRPr="002459F2">
        <w:rPr>
          <w:rFonts w:ascii="Times New Roman" w:eastAsia="Arial" w:hAnsi="Times New Roman" w:cs="Times New Roman"/>
          <w:sz w:val="24"/>
          <w:szCs w:val="24"/>
        </w:rPr>
        <w:t>ualidade pode ser compreendida como o cumprimento de exigências básicas para a garantia de conformidade (DONABEDIAN, 1980). Pode ser avaliada pelo consumidor na comparação entre a expectativa e percepção quanto ao serviço prestado (PARASURAMAN; ZEITHAML; BERRY, 1988), e está atrelado à satisfação perante a necessidade do consumidor. Ou seja, a qualidade é percebida por meio de características (ALMEIDA; TOLEDO, 2013).</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Dessa forma, os serviços prestados por empresas deve manter um nível de qualidade para atender a necessidade e exigências dos consumidores, já que cada indivíduo possui sua percepção própria de qualidade. Conforme </w:t>
      </w:r>
      <w:r w:rsidR="00D001FB">
        <w:rPr>
          <w:rFonts w:ascii="Times New Roman" w:eastAsia="Arial" w:hAnsi="Times New Roman" w:cs="Times New Roman"/>
          <w:sz w:val="24"/>
          <w:szCs w:val="24"/>
        </w:rPr>
        <w:t>Parasuraman, Zeithaml e Berry</w:t>
      </w:r>
      <w:r w:rsidRPr="002459F2">
        <w:rPr>
          <w:rFonts w:ascii="Times New Roman" w:eastAsia="Arial" w:hAnsi="Times New Roman" w:cs="Times New Roman"/>
          <w:sz w:val="24"/>
          <w:szCs w:val="24"/>
        </w:rPr>
        <w:t xml:space="preserve"> (1985) serviço de qualidade é fundamental para sobrevivência e eficácia no ambiente atual tão competitivo.</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No turismo de eventos a qualidade também é intangível e pode ser caracterizado por aspectos como intangibilidade já que são caracterizados como serviços; transitório pois cada evento é único e com pouca ou média duração; inseparável devido aos participantes relacionarem a experiência que tiveram em eventos de edições passadas ao do momento; consistência exigida pelos participantes de eventos; e ausência de posse já que não pertencem a somente um domínio e tem grande proporção de público (WATT, 2009).</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Para avaliar a qualidade dos</w:t>
      </w:r>
      <w:r w:rsidR="00D001FB">
        <w:rPr>
          <w:rFonts w:ascii="Times New Roman" w:eastAsia="Arial" w:hAnsi="Times New Roman" w:cs="Times New Roman"/>
          <w:sz w:val="24"/>
          <w:szCs w:val="24"/>
        </w:rPr>
        <w:t xml:space="preserve"> serviços prestados em eventos,</w:t>
      </w:r>
      <w:r w:rsidRPr="002459F2">
        <w:rPr>
          <w:rFonts w:ascii="Times New Roman" w:eastAsia="Arial" w:hAnsi="Times New Roman" w:cs="Times New Roman"/>
          <w:sz w:val="24"/>
          <w:szCs w:val="24"/>
        </w:rPr>
        <w:t xml:space="preserve"> foi desenvolvido por Mondo (2014) um modelo específico para avaliar a qualidade em serviços turísticos. O protocolo Tourqual criado a partir do levantamento de 211 indicadores em uma análise qualitativa foi confrontado com mais de 75 mil comentários online para chegar-se ao total de 26 indicadores de qualidade. A ferramenta foi adaptada para eventos e 15 indicadores específicos foram elaborados para avaliar a qualidade dos serviços nesses locais (MONDO; DA SILVA; VIDOR, 2018).</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Hoje em dia, o Tourqual já resultou na análise da qualidade de diversos eventos por Santa Catarina. Foi utilizado para avaliar a Oktoberfest em 2016 e 2017, o Carnaval em </w:t>
      </w:r>
      <w:r w:rsidRPr="002459F2">
        <w:rPr>
          <w:rFonts w:ascii="Times New Roman" w:eastAsia="Arial" w:hAnsi="Times New Roman" w:cs="Times New Roman"/>
          <w:sz w:val="24"/>
          <w:szCs w:val="24"/>
        </w:rPr>
        <w:lastRenderedPageBreak/>
        <w:t>Florianópolis, Joaçaba, Laguna e São Francisco do Sul no ano de 2017, a Festa Nacional do Pinhão em 2017 e o Carnaval de Joaçaba em 2018. Em todas as pesquisas o Tourqual trouxe dados fidedigno e reais sobre a percepção dos turistas quanto ao serviço nesses eventos a fim da mensuração da qualidade desses locais. Além disso, a pesquisa realizada pelo Tourqual ampliou o conhecimento sobre o perfil do turista que participa desses eventos, bem como se possuem interesse em voltar a participar ou conhecer melhor o destino em uma outra oportunidade (FECOMÉRCIO SC, 2020).</w:t>
      </w:r>
    </w:p>
    <w:p w:rsidR="00B011CF" w:rsidRPr="002459F2" w:rsidRDefault="00551C6E"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Assim, o Tourqual consiste na ferramenta viável capaz de mensurar a qualidade ofertada através da percepção dos participantes em eventos. Já que a avaliação de qualidade torna-se necessária em eventos, isso porque do mesmo modo que impacta positivamente quando este apresentar qualidade, pode impactar negativamente trazendo uma imagem negativa da localidade, publicidade ruim e embaraços políticos (ALLEN; MCDONALD; WILLIAM, 2003). </w:t>
      </w:r>
    </w:p>
    <w:p w:rsidR="00B011CF" w:rsidRDefault="00B011CF"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p>
    <w:p w:rsidR="00D001FB" w:rsidRPr="002459F2" w:rsidRDefault="00D001FB" w:rsidP="002459F2">
      <w:pPr>
        <w:pBdr>
          <w:top w:val="nil"/>
          <w:left w:val="nil"/>
          <w:bottom w:val="nil"/>
          <w:right w:val="nil"/>
          <w:between w:val="nil"/>
        </w:pBdr>
        <w:spacing w:after="0" w:line="360" w:lineRule="auto"/>
        <w:ind w:firstLine="1134"/>
        <w:jc w:val="both"/>
        <w:rPr>
          <w:rFonts w:ascii="Times New Roman" w:eastAsia="Arial" w:hAnsi="Times New Roman" w:cs="Times New Roman"/>
          <w:sz w:val="24"/>
          <w:szCs w:val="24"/>
        </w:rPr>
      </w:pPr>
    </w:p>
    <w:p w:rsidR="00B011CF" w:rsidRPr="004851D0" w:rsidRDefault="00551C6E" w:rsidP="004851D0">
      <w:pPr>
        <w:pStyle w:val="PargrafodaLista"/>
        <w:numPr>
          <w:ilvl w:val="0"/>
          <w:numId w:val="1"/>
        </w:numPr>
        <w:spacing w:after="0" w:line="360" w:lineRule="auto"/>
        <w:jc w:val="both"/>
        <w:rPr>
          <w:rFonts w:ascii="Times New Roman" w:eastAsia="Arial" w:hAnsi="Times New Roman" w:cs="Times New Roman"/>
          <w:b/>
          <w:sz w:val="24"/>
          <w:szCs w:val="24"/>
        </w:rPr>
      </w:pPr>
      <w:r w:rsidRPr="004851D0">
        <w:rPr>
          <w:rFonts w:ascii="Times New Roman" w:eastAsia="Arial" w:hAnsi="Times New Roman" w:cs="Times New Roman"/>
          <w:b/>
          <w:sz w:val="24"/>
          <w:szCs w:val="24"/>
        </w:rPr>
        <w:t>PROCEDIMENTOS METODOLÓGICOS</w:t>
      </w:r>
    </w:p>
    <w:p w:rsidR="00B011CF" w:rsidRPr="002459F2" w:rsidRDefault="00A77B16"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Esta pesquisa é classificada como aplicada, descritiva e quantitativa. Descritiva por </w:t>
      </w:r>
      <w:r w:rsidR="00551C6E" w:rsidRPr="002459F2">
        <w:rPr>
          <w:rFonts w:ascii="Times New Roman" w:eastAsia="Arial" w:hAnsi="Times New Roman" w:cs="Times New Roman"/>
          <w:sz w:val="24"/>
          <w:szCs w:val="24"/>
        </w:rPr>
        <w:t>buscar conhecer a realidade em análise, suas peculiaridades e seus problemas. Logo, possui o intuito de delinear com exatidão os fatos e fenômenos de determinada realidade (TRIVIÑOS, 1987, p. 100).</w:t>
      </w:r>
      <w:r w:rsidRPr="002459F2">
        <w:rPr>
          <w:rFonts w:ascii="Times New Roman" w:eastAsia="Arial" w:hAnsi="Times New Roman" w:cs="Times New Roman"/>
          <w:sz w:val="24"/>
          <w:szCs w:val="24"/>
        </w:rPr>
        <w:t xml:space="preserve"> Quantitativa</w:t>
      </w:r>
      <w:r w:rsidR="00551C6E" w:rsidRPr="002459F2">
        <w:rPr>
          <w:rFonts w:ascii="Times New Roman" w:eastAsia="Arial" w:hAnsi="Times New Roman" w:cs="Times New Roman"/>
          <w:sz w:val="24"/>
          <w:szCs w:val="24"/>
        </w:rPr>
        <w:t xml:space="preserve"> pois utiliza-se do emprego de instrumentos estatísticos, para na coleta e tratamento dos dados, e que objetiva medir relações entre as variáveis. Neste âmbito, por sua vez, parte-se de um nível preestabelecido com hipóteses e variáveis claramente definidas, procurando medir e quantificar os resultados da investigação, elaborando-os em dados estatísticos (ZANELLA, 2013, p. 35).</w:t>
      </w:r>
    </w:p>
    <w:p w:rsidR="00B011CF" w:rsidRPr="002459F2" w:rsidRDefault="00A77B16"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 estratégia de coleta de dados foi por</w:t>
      </w:r>
      <w:r w:rsidR="00551C6E" w:rsidRPr="002459F2">
        <w:rPr>
          <w:rFonts w:ascii="Times New Roman" w:eastAsia="Arial" w:hAnsi="Times New Roman" w:cs="Times New Roman"/>
          <w:sz w:val="24"/>
          <w:szCs w:val="24"/>
        </w:rPr>
        <w:t xml:space="preserve"> meio de levantamento </w:t>
      </w:r>
      <w:r w:rsidR="00551C6E" w:rsidRPr="002459F2">
        <w:rPr>
          <w:rFonts w:ascii="Times New Roman" w:eastAsia="Arial" w:hAnsi="Times New Roman" w:cs="Times New Roman"/>
          <w:i/>
          <w:sz w:val="24"/>
          <w:szCs w:val="24"/>
        </w:rPr>
        <w:t>survey</w:t>
      </w:r>
      <w:r w:rsidR="00551C6E" w:rsidRPr="002459F2">
        <w:rPr>
          <w:rFonts w:ascii="Times New Roman" w:eastAsia="Arial" w:hAnsi="Times New Roman" w:cs="Times New Roman"/>
          <w:sz w:val="24"/>
          <w:szCs w:val="24"/>
        </w:rPr>
        <w:t>ou sondagem, é um método muito aplicado para análise de dados sociais, econômicos e demográficos e se caracteriza pelo contato direto com as pessoas.</w:t>
      </w:r>
      <w:r w:rsidRPr="002459F2">
        <w:rPr>
          <w:rFonts w:ascii="Times New Roman" w:eastAsia="Arial" w:hAnsi="Times New Roman" w:cs="Times New Roman"/>
          <w:sz w:val="24"/>
          <w:szCs w:val="24"/>
        </w:rPr>
        <w:t xml:space="preserve"> A amostragem é classificada como não-probabilística Foram escolhidos os 10 maiores eventos do Movimento Floripa Conecta. A amostra foi por conveniência e alcançou 1025 participantes.</w:t>
      </w:r>
    </w:p>
    <w:p w:rsidR="00B011CF" w:rsidRPr="002459F2" w:rsidRDefault="00A77B16"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O instrumento foi o</w:t>
      </w:r>
      <w:r w:rsidR="00551C6E" w:rsidRPr="002459F2">
        <w:rPr>
          <w:rFonts w:ascii="Times New Roman" w:eastAsia="Arial" w:hAnsi="Times New Roman" w:cs="Times New Roman"/>
          <w:sz w:val="24"/>
          <w:szCs w:val="24"/>
        </w:rPr>
        <w:t xml:space="preserve"> questionário de pesquisa fechado e estruturado, sendo integralmente preenchido de forma objetiva, onde fora analisado peculiaridades dos participantes no âmbito social e econômico, bem como seu local de origem, renda mensal, custo médio durante sua estada no município de Florianópolis - SC, por ocasião do evento. </w:t>
      </w:r>
      <w:r w:rsidRPr="002459F2">
        <w:rPr>
          <w:rFonts w:ascii="Times New Roman" w:eastAsia="Arial" w:hAnsi="Times New Roman" w:cs="Times New Roman"/>
          <w:sz w:val="24"/>
          <w:szCs w:val="24"/>
        </w:rPr>
        <w:lastRenderedPageBreak/>
        <w:t xml:space="preserve">Além disso, os respondentes avaliaram o evento em que estavam participando a partir dos indicadores do </w:t>
      </w:r>
      <w:r w:rsidR="00D001FB">
        <w:rPr>
          <w:rFonts w:ascii="Times New Roman" w:eastAsia="Arial" w:hAnsi="Times New Roman" w:cs="Times New Roman"/>
          <w:sz w:val="24"/>
          <w:szCs w:val="24"/>
        </w:rPr>
        <w:t>protocolo Tourqual (MONDO</w:t>
      </w:r>
      <w:r w:rsidRPr="002459F2">
        <w:rPr>
          <w:rFonts w:ascii="Times New Roman" w:eastAsia="Arial" w:hAnsi="Times New Roman" w:cs="Times New Roman"/>
          <w:sz w:val="24"/>
          <w:szCs w:val="24"/>
        </w:rPr>
        <w:t xml:space="preserve">, 2019). </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O Floripa Conecta 2019 ocorreu entre os dias 09 a 18 de agosto de 2019, por todas as regiões da cidade de Florianópolis, totalizando 53 eventos. Foi delimitado um universo amostral de 10 eventos para o estudo, sendo eles: Semana Balaclava, Stun Game, Startup Summit, Orquestra de Baterias, Maratona Cultural, InnovationSummit, Expo Tattoo, Semana da Mobilidade Elétrica, Encatho&amp;Exprotel, e Circuito Catarinense de Quadrinhos.</w:t>
      </w:r>
    </w:p>
    <w:p w:rsidR="00B011CF" w:rsidRDefault="00A77B16"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Após a coleta os dados foram tabulados em software de planilhas eletrônicas e a análise foi por meio de estatística descritiva utilizando-se do SPSS 22.</w:t>
      </w:r>
    </w:p>
    <w:p w:rsidR="00AD4230" w:rsidRPr="002459F2" w:rsidRDefault="00AD4230" w:rsidP="002459F2">
      <w:pPr>
        <w:spacing w:after="0" w:line="360" w:lineRule="auto"/>
        <w:ind w:firstLine="1134"/>
        <w:jc w:val="both"/>
        <w:rPr>
          <w:rFonts w:ascii="Times New Roman" w:eastAsia="Arial" w:hAnsi="Times New Roman" w:cs="Times New Roman"/>
          <w:sz w:val="24"/>
          <w:szCs w:val="24"/>
        </w:rPr>
      </w:pPr>
    </w:p>
    <w:p w:rsidR="00B011CF" w:rsidRPr="004851D0" w:rsidRDefault="00551C6E" w:rsidP="004851D0">
      <w:pPr>
        <w:pStyle w:val="PargrafodaLista"/>
        <w:numPr>
          <w:ilvl w:val="0"/>
          <w:numId w:val="1"/>
        </w:numPr>
        <w:spacing w:after="0" w:line="360" w:lineRule="auto"/>
        <w:jc w:val="both"/>
        <w:rPr>
          <w:rFonts w:ascii="Times New Roman" w:eastAsia="Arial" w:hAnsi="Times New Roman" w:cs="Times New Roman"/>
          <w:b/>
          <w:sz w:val="24"/>
          <w:szCs w:val="24"/>
        </w:rPr>
      </w:pPr>
      <w:r w:rsidRPr="004851D0">
        <w:rPr>
          <w:rFonts w:ascii="Times New Roman" w:eastAsia="Arial" w:hAnsi="Times New Roman" w:cs="Times New Roman"/>
          <w:b/>
          <w:sz w:val="24"/>
          <w:szCs w:val="24"/>
        </w:rPr>
        <w:t>RESULTADOS E DISCUSSÃO</w:t>
      </w:r>
    </w:p>
    <w:p w:rsidR="00B011CF" w:rsidRPr="002459F2" w:rsidRDefault="006D01B6"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Inicia-se a apresentação dos resultados identificando o número de respondentes por evento. Conforme a Tabela 1 apresenta, o evento que mais obteve participantes respondentes foi a Maratona Cultural. Tal fato se justifica pela Maratona Cultural acontecer durante uma semana em diferentes locais de Florianópolis, abrangendo um público maior. O evento com menor número de respondent</w:t>
      </w:r>
      <w:r w:rsidR="003E341B" w:rsidRPr="002459F2">
        <w:rPr>
          <w:rFonts w:ascii="Times New Roman" w:eastAsia="Arial" w:hAnsi="Times New Roman" w:cs="Times New Roman"/>
          <w:sz w:val="24"/>
          <w:szCs w:val="24"/>
        </w:rPr>
        <w:t>es foi a Orquestra de Baterias. Salienta-se que no dia do evento, as condições climáticas não foram favoráveis e, como era ao ar livre, o número de expectadores foi extremamente baixo, refletindo na amostra.</w:t>
      </w:r>
    </w:p>
    <w:p w:rsidR="003E341B" w:rsidRPr="002459F2" w:rsidRDefault="003E341B" w:rsidP="004851D0">
      <w:pPr>
        <w:spacing w:after="0" w:line="360" w:lineRule="auto"/>
        <w:jc w:val="both"/>
        <w:rPr>
          <w:rFonts w:ascii="Times New Roman" w:eastAsia="Times New Roman" w:hAnsi="Times New Roman" w:cs="Times New Roman"/>
          <w:b/>
          <w:sz w:val="24"/>
          <w:szCs w:val="24"/>
        </w:rPr>
      </w:pPr>
      <w:r w:rsidRPr="002459F2">
        <w:rPr>
          <w:rFonts w:ascii="Times New Roman" w:eastAsia="Arial" w:hAnsi="Times New Roman" w:cs="Times New Roman"/>
          <w:sz w:val="24"/>
          <w:szCs w:val="24"/>
        </w:rPr>
        <w:t>Tabela 1 – Quantificação da Amostra por evento</w:t>
      </w:r>
    </w:p>
    <w:tbl>
      <w:tblPr>
        <w:tblStyle w:val="Tabelacomgrade"/>
        <w:tblW w:w="5000" w:type="pct"/>
        <w:tblLook w:val="0600"/>
      </w:tblPr>
      <w:tblGrid>
        <w:gridCol w:w="4179"/>
        <w:gridCol w:w="2411"/>
        <w:gridCol w:w="2697"/>
      </w:tblGrid>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Evento</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Número de respondentes</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Percentual</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Maratona Cultural</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227</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22,1</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Expo Tattoo</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173</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16,9</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Circuito Catarinense de Quadrinhos</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153</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14,9</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Startup Summit</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107</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10,4</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Encatho&amp;Exprotel</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92</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9,0</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Semana Balaclava</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75</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7,3</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Stun Game Festival</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71</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6,9</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Semana da Mobilidade Elétrica</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54</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5,3</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InnovationSummit</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46</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4,5</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Orquestra de Baterias</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27</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2,6</w:t>
            </w:r>
          </w:p>
        </w:tc>
      </w:tr>
      <w:tr w:rsidR="003E341B" w:rsidRPr="004851D0" w:rsidTr="004851D0">
        <w:trPr>
          <w:trHeight w:val="20"/>
        </w:trPr>
        <w:tc>
          <w:tcPr>
            <w:tcW w:w="2250" w:type="pct"/>
          </w:tcPr>
          <w:p w:rsidR="003E341B" w:rsidRPr="004851D0" w:rsidRDefault="003E341B"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Total</w:t>
            </w:r>
          </w:p>
        </w:tc>
        <w:tc>
          <w:tcPr>
            <w:tcW w:w="1298"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1025</w:t>
            </w:r>
          </w:p>
        </w:tc>
        <w:tc>
          <w:tcPr>
            <w:tcW w:w="1452" w:type="pct"/>
          </w:tcPr>
          <w:p w:rsidR="003E341B" w:rsidRPr="004851D0" w:rsidRDefault="003E341B"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100,0</w:t>
            </w:r>
          </w:p>
        </w:tc>
      </w:tr>
    </w:tbl>
    <w:p w:rsidR="00B011CF" w:rsidRPr="002459F2" w:rsidRDefault="003E341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Fonte: dados primários (2019).</w:t>
      </w:r>
    </w:p>
    <w:p w:rsidR="003E341B" w:rsidRPr="002459F2" w:rsidRDefault="003E341B" w:rsidP="002459F2">
      <w:pPr>
        <w:spacing w:after="0" w:line="360" w:lineRule="auto"/>
        <w:ind w:firstLine="1134"/>
        <w:jc w:val="both"/>
        <w:rPr>
          <w:rFonts w:ascii="Times New Roman" w:eastAsia="Arial" w:hAnsi="Times New Roman" w:cs="Times New Roman"/>
          <w:sz w:val="24"/>
          <w:szCs w:val="24"/>
        </w:rPr>
      </w:pP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 respeito da categorização dos participantes dos eventos, houve-se uma abrangência maior de morador</w:t>
      </w:r>
      <w:r w:rsidR="001F303C" w:rsidRPr="002459F2">
        <w:rPr>
          <w:rFonts w:ascii="Times New Roman" w:eastAsia="Arial" w:hAnsi="Times New Roman" w:cs="Times New Roman"/>
          <w:sz w:val="24"/>
          <w:szCs w:val="24"/>
        </w:rPr>
        <w:t>es</w:t>
      </w:r>
      <w:r w:rsidRPr="002459F2">
        <w:rPr>
          <w:rFonts w:ascii="Times New Roman" w:eastAsia="Arial" w:hAnsi="Times New Roman" w:cs="Times New Roman"/>
          <w:sz w:val="24"/>
          <w:szCs w:val="24"/>
        </w:rPr>
        <w:t xml:space="preserve"> em quase todos os eventos listados. Apenas nos eventos Startup Summit, InnovationSummit e Encatho&amp;Exp</w:t>
      </w:r>
      <w:r w:rsidR="001F303C" w:rsidRPr="002459F2">
        <w:rPr>
          <w:rFonts w:ascii="Times New Roman" w:eastAsia="Arial" w:hAnsi="Times New Roman" w:cs="Times New Roman"/>
          <w:sz w:val="24"/>
          <w:szCs w:val="24"/>
        </w:rPr>
        <w:t>rotel o número de turistas foi maior</w:t>
      </w:r>
      <w:r w:rsidRPr="002459F2">
        <w:rPr>
          <w:rFonts w:ascii="Times New Roman" w:eastAsia="Arial" w:hAnsi="Times New Roman" w:cs="Times New Roman"/>
          <w:sz w:val="24"/>
          <w:szCs w:val="24"/>
        </w:rPr>
        <w:t xml:space="preserve"> que o número de moradores.Isso demonstra que os eventos de inovação, bem como os eventos</w:t>
      </w:r>
      <w:r w:rsidR="001F303C" w:rsidRPr="002459F2">
        <w:rPr>
          <w:rFonts w:ascii="Times New Roman" w:eastAsia="Arial" w:hAnsi="Times New Roman" w:cs="Times New Roman"/>
          <w:sz w:val="24"/>
          <w:szCs w:val="24"/>
        </w:rPr>
        <w:t xml:space="preserve"> comerciais com abrangência estadual recebem </w:t>
      </w:r>
      <w:r w:rsidRPr="002459F2">
        <w:rPr>
          <w:rFonts w:ascii="Times New Roman" w:eastAsia="Arial" w:hAnsi="Times New Roman" w:cs="Times New Roman"/>
          <w:sz w:val="24"/>
          <w:szCs w:val="24"/>
        </w:rPr>
        <w:t>um maior púb</w:t>
      </w:r>
      <w:r w:rsidR="001F303C" w:rsidRPr="002459F2">
        <w:rPr>
          <w:rFonts w:ascii="Times New Roman" w:eastAsia="Arial" w:hAnsi="Times New Roman" w:cs="Times New Roman"/>
          <w:sz w:val="24"/>
          <w:szCs w:val="24"/>
        </w:rPr>
        <w:t xml:space="preserve">lico de turistas quando ocorrem. A Tabela 2 apresenta os resultados. Percebe-se a partir desses dados que o Floripa Conecta </w:t>
      </w:r>
      <w:r w:rsidR="001F303C" w:rsidRPr="002459F2">
        <w:rPr>
          <w:rFonts w:ascii="Times New Roman" w:eastAsia="Arial" w:hAnsi="Times New Roman" w:cs="Times New Roman"/>
          <w:sz w:val="24"/>
          <w:szCs w:val="24"/>
        </w:rPr>
        <w:lastRenderedPageBreak/>
        <w:t>2019 foi um movimento local, com alguns eventos trazendo turistas. Por mais que seja uma iniciativa incipiente da cidade de Florianópolis, percebe-se que já é 30% turístico. Ou seja, 30% dos participantes não são da cidade, fazendo que o movimento possa sim ser definido não somente como um movimento cultural, mas também turístico e, principalmente, de combate à sazonalidade, já que ocorre no mês de Agosto.</w:t>
      </w:r>
    </w:p>
    <w:p w:rsidR="001F303C" w:rsidRPr="002459F2" w:rsidRDefault="001F303C" w:rsidP="004851D0">
      <w:pPr>
        <w:spacing w:after="0" w:line="360" w:lineRule="auto"/>
        <w:jc w:val="both"/>
        <w:rPr>
          <w:rFonts w:ascii="Times New Roman" w:eastAsia="Times New Roman" w:hAnsi="Times New Roman" w:cs="Times New Roman"/>
          <w:b/>
          <w:sz w:val="24"/>
          <w:szCs w:val="24"/>
        </w:rPr>
      </w:pPr>
      <w:r w:rsidRPr="002459F2">
        <w:rPr>
          <w:rFonts w:ascii="Times New Roman" w:eastAsia="Times New Roman" w:hAnsi="Times New Roman" w:cs="Times New Roman"/>
          <w:b/>
          <w:sz w:val="24"/>
          <w:szCs w:val="24"/>
        </w:rPr>
        <w:t>Tabela 2 – Evento Avaliado x Caracterização Morador ou Turista</w:t>
      </w:r>
    </w:p>
    <w:tbl>
      <w:tblPr>
        <w:tblStyle w:val="Tabelacomgrade"/>
        <w:tblW w:w="9075" w:type="dxa"/>
        <w:tblLayout w:type="fixed"/>
        <w:tblLook w:val="0600"/>
      </w:tblPr>
      <w:tblGrid>
        <w:gridCol w:w="1824"/>
        <w:gridCol w:w="2638"/>
        <w:gridCol w:w="1690"/>
        <w:gridCol w:w="1676"/>
        <w:gridCol w:w="1247"/>
      </w:tblGrid>
      <w:tr w:rsidR="00B011CF" w:rsidRPr="004851D0" w:rsidTr="004851D0">
        <w:trPr>
          <w:trHeight w:val="20"/>
        </w:trPr>
        <w:tc>
          <w:tcPr>
            <w:tcW w:w="4462" w:type="dxa"/>
            <w:gridSpan w:val="2"/>
            <w:vMerge w:val="restart"/>
          </w:tcPr>
          <w:p w:rsidR="00B011CF" w:rsidRPr="004851D0" w:rsidRDefault="00B011CF" w:rsidP="004851D0">
            <w:pPr>
              <w:jc w:val="both"/>
              <w:rPr>
                <w:rFonts w:ascii="Times New Roman" w:eastAsia="Times New Roman" w:hAnsi="Times New Roman" w:cs="Times New Roman"/>
                <w:sz w:val="20"/>
                <w:szCs w:val="20"/>
              </w:rPr>
            </w:pPr>
          </w:p>
        </w:tc>
        <w:tc>
          <w:tcPr>
            <w:tcW w:w="3366" w:type="dxa"/>
            <w:gridSpan w:val="2"/>
          </w:tcPr>
          <w:p w:rsidR="00B011CF" w:rsidRPr="004851D0" w:rsidRDefault="00551C6E" w:rsidP="004851D0">
            <w:pPr>
              <w:jc w:val="center"/>
              <w:rPr>
                <w:rFonts w:ascii="Times New Roman" w:eastAsia="Arial" w:hAnsi="Times New Roman" w:cs="Times New Roman"/>
                <w:sz w:val="20"/>
                <w:szCs w:val="20"/>
              </w:rPr>
            </w:pPr>
            <w:r w:rsidRPr="004851D0">
              <w:rPr>
                <w:rFonts w:ascii="Times New Roman" w:eastAsia="Arial" w:hAnsi="Times New Roman" w:cs="Times New Roman"/>
                <w:sz w:val="20"/>
                <w:szCs w:val="20"/>
              </w:rPr>
              <w:t>Caracterização Morador ou Turista</w:t>
            </w:r>
          </w:p>
        </w:tc>
        <w:tc>
          <w:tcPr>
            <w:tcW w:w="1247" w:type="dxa"/>
            <w:vMerge w:val="restart"/>
          </w:tcPr>
          <w:p w:rsidR="00B011CF" w:rsidRPr="004851D0" w:rsidRDefault="00551C6E" w:rsidP="004851D0">
            <w:pPr>
              <w:jc w:val="center"/>
              <w:rPr>
                <w:rFonts w:ascii="Times New Roman" w:eastAsia="Arial" w:hAnsi="Times New Roman" w:cs="Times New Roman"/>
                <w:sz w:val="20"/>
                <w:szCs w:val="20"/>
              </w:rPr>
            </w:pPr>
            <w:r w:rsidRPr="004851D0">
              <w:rPr>
                <w:rFonts w:ascii="Times New Roman" w:eastAsia="Arial" w:hAnsi="Times New Roman" w:cs="Times New Roman"/>
                <w:sz w:val="20"/>
                <w:szCs w:val="20"/>
              </w:rPr>
              <w:t>Total</w:t>
            </w:r>
          </w:p>
        </w:tc>
      </w:tr>
      <w:tr w:rsidR="00B011CF" w:rsidRPr="004851D0" w:rsidTr="004851D0">
        <w:trPr>
          <w:trHeight w:val="20"/>
        </w:trPr>
        <w:tc>
          <w:tcPr>
            <w:tcW w:w="4462" w:type="dxa"/>
            <w:gridSpan w:val="2"/>
            <w:vMerge/>
          </w:tcPr>
          <w:p w:rsidR="00B011CF" w:rsidRPr="004851D0" w:rsidRDefault="00B011CF" w:rsidP="004851D0">
            <w:pPr>
              <w:jc w:val="both"/>
              <w:rPr>
                <w:rFonts w:ascii="Times New Roman" w:eastAsia="Arial" w:hAnsi="Times New Roman" w:cs="Times New Roman"/>
                <w:sz w:val="20"/>
                <w:szCs w:val="20"/>
              </w:rPr>
            </w:pPr>
          </w:p>
        </w:tc>
        <w:tc>
          <w:tcPr>
            <w:tcW w:w="1690" w:type="dxa"/>
          </w:tcPr>
          <w:p w:rsidR="00B011CF" w:rsidRPr="004851D0" w:rsidRDefault="00551C6E" w:rsidP="004851D0">
            <w:pPr>
              <w:jc w:val="center"/>
              <w:rPr>
                <w:rFonts w:ascii="Times New Roman" w:eastAsia="Arial" w:hAnsi="Times New Roman" w:cs="Times New Roman"/>
                <w:sz w:val="20"/>
                <w:szCs w:val="20"/>
              </w:rPr>
            </w:pPr>
            <w:r w:rsidRPr="004851D0">
              <w:rPr>
                <w:rFonts w:ascii="Times New Roman" w:eastAsia="Arial" w:hAnsi="Times New Roman" w:cs="Times New Roman"/>
                <w:sz w:val="20"/>
                <w:szCs w:val="20"/>
              </w:rPr>
              <w:t>Turista</w:t>
            </w:r>
          </w:p>
        </w:tc>
        <w:tc>
          <w:tcPr>
            <w:tcW w:w="1676" w:type="dxa"/>
          </w:tcPr>
          <w:p w:rsidR="00B011CF" w:rsidRPr="004851D0" w:rsidRDefault="00551C6E" w:rsidP="004851D0">
            <w:pPr>
              <w:jc w:val="center"/>
              <w:rPr>
                <w:rFonts w:ascii="Times New Roman" w:eastAsia="Arial" w:hAnsi="Times New Roman" w:cs="Times New Roman"/>
                <w:sz w:val="20"/>
                <w:szCs w:val="20"/>
              </w:rPr>
            </w:pPr>
            <w:r w:rsidRPr="004851D0">
              <w:rPr>
                <w:rFonts w:ascii="Times New Roman" w:eastAsia="Arial" w:hAnsi="Times New Roman" w:cs="Times New Roman"/>
                <w:sz w:val="20"/>
                <w:szCs w:val="20"/>
              </w:rPr>
              <w:t>Morador</w:t>
            </w:r>
          </w:p>
        </w:tc>
        <w:tc>
          <w:tcPr>
            <w:tcW w:w="1247" w:type="dxa"/>
            <w:vMerge/>
          </w:tcPr>
          <w:p w:rsidR="00B011CF" w:rsidRPr="004851D0" w:rsidRDefault="00B011CF" w:rsidP="004851D0">
            <w:pPr>
              <w:jc w:val="both"/>
              <w:rPr>
                <w:rFonts w:ascii="Times New Roman" w:eastAsia="Arial" w:hAnsi="Times New Roman" w:cs="Times New Roman"/>
                <w:sz w:val="20"/>
                <w:szCs w:val="20"/>
              </w:rPr>
            </w:pPr>
          </w:p>
        </w:tc>
      </w:tr>
      <w:tr w:rsidR="00B011CF" w:rsidRPr="004851D0" w:rsidTr="004851D0">
        <w:trPr>
          <w:trHeight w:val="20"/>
        </w:trPr>
        <w:tc>
          <w:tcPr>
            <w:tcW w:w="1824" w:type="dxa"/>
            <w:vMerge w:val="restart"/>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Evento avaliado</w:t>
            </w: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Semana Balaclava</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16</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59</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75</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Stun Game Festival</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16</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55</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71</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Startup Summit</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61</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46</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107</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Orquestra de Baterias</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6</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20</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26</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Maratona Cultural</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46</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180</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226</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InnovationSummit</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37</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9</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46</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Expo Tattoo</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54</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119</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173</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Semana da Mobilidade Elétrica</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50</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54</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Encatho&amp;Exprotel</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47</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45</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92</w:t>
            </w:r>
          </w:p>
        </w:tc>
      </w:tr>
      <w:tr w:rsidR="00B011CF" w:rsidRPr="004851D0" w:rsidTr="004851D0">
        <w:trPr>
          <w:trHeight w:val="20"/>
        </w:trPr>
        <w:tc>
          <w:tcPr>
            <w:tcW w:w="1824" w:type="dxa"/>
            <w:vMerge/>
          </w:tcPr>
          <w:p w:rsidR="00B011CF" w:rsidRPr="004851D0" w:rsidRDefault="00B011CF" w:rsidP="004851D0">
            <w:pPr>
              <w:jc w:val="both"/>
              <w:rPr>
                <w:rFonts w:ascii="Times New Roman" w:eastAsia="Arial" w:hAnsi="Times New Roman" w:cs="Times New Roman"/>
                <w:sz w:val="20"/>
                <w:szCs w:val="20"/>
              </w:rPr>
            </w:pPr>
          </w:p>
        </w:tc>
        <w:tc>
          <w:tcPr>
            <w:tcW w:w="2638" w:type="dxa"/>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Circuito Catarinense de Quadrinhos</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32</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120</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152</w:t>
            </w:r>
          </w:p>
        </w:tc>
      </w:tr>
      <w:tr w:rsidR="00B011CF" w:rsidRPr="004851D0" w:rsidTr="004851D0">
        <w:trPr>
          <w:trHeight w:val="20"/>
        </w:trPr>
        <w:tc>
          <w:tcPr>
            <w:tcW w:w="4462" w:type="dxa"/>
            <w:gridSpan w:val="2"/>
          </w:tcPr>
          <w:p w:rsidR="00B011CF" w:rsidRPr="004851D0" w:rsidRDefault="00551C6E" w:rsidP="004851D0">
            <w:pPr>
              <w:jc w:val="both"/>
              <w:rPr>
                <w:rFonts w:ascii="Times New Roman" w:eastAsia="Arial" w:hAnsi="Times New Roman" w:cs="Times New Roman"/>
                <w:sz w:val="20"/>
                <w:szCs w:val="20"/>
              </w:rPr>
            </w:pPr>
            <w:r w:rsidRPr="004851D0">
              <w:rPr>
                <w:rFonts w:ascii="Times New Roman" w:eastAsia="Arial" w:hAnsi="Times New Roman" w:cs="Times New Roman"/>
                <w:sz w:val="20"/>
                <w:szCs w:val="20"/>
              </w:rPr>
              <w:t>Total</w:t>
            </w:r>
          </w:p>
        </w:tc>
        <w:tc>
          <w:tcPr>
            <w:tcW w:w="1690"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319</w:t>
            </w:r>
          </w:p>
        </w:tc>
        <w:tc>
          <w:tcPr>
            <w:tcW w:w="1676"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703</w:t>
            </w:r>
          </w:p>
        </w:tc>
        <w:tc>
          <w:tcPr>
            <w:tcW w:w="1247" w:type="dxa"/>
          </w:tcPr>
          <w:p w:rsidR="00B011CF" w:rsidRPr="004851D0" w:rsidRDefault="00551C6E" w:rsidP="004851D0">
            <w:pPr>
              <w:jc w:val="right"/>
              <w:rPr>
                <w:rFonts w:ascii="Times New Roman" w:eastAsia="Arial" w:hAnsi="Times New Roman" w:cs="Times New Roman"/>
                <w:sz w:val="20"/>
                <w:szCs w:val="20"/>
              </w:rPr>
            </w:pPr>
            <w:r w:rsidRPr="004851D0">
              <w:rPr>
                <w:rFonts w:ascii="Times New Roman" w:eastAsia="Arial" w:hAnsi="Times New Roman" w:cs="Times New Roman"/>
                <w:sz w:val="20"/>
                <w:szCs w:val="20"/>
              </w:rPr>
              <w:t>1022</w:t>
            </w:r>
          </w:p>
        </w:tc>
      </w:tr>
    </w:tbl>
    <w:p w:rsidR="00B011CF" w:rsidRPr="002459F2" w:rsidRDefault="001F303C"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Fonte: dados primários (2019).</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Sobre o gênero dos entrevistados, 521 </w:t>
      </w:r>
      <w:r w:rsidR="00F82956" w:rsidRPr="002459F2">
        <w:rPr>
          <w:rFonts w:ascii="Times New Roman" w:eastAsia="Arial" w:hAnsi="Times New Roman" w:cs="Times New Roman"/>
          <w:sz w:val="24"/>
          <w:szCs w:val="24"/>
        </w:rPr>
        <w:t>se consideravam</w:t>
      </w:r>
      <w:r w:rsidRPr="002459F2">
        <w:rPr>
          <w:rFonts w:ascii="Times New Roman" w:eastAsia="Arial" w:hAnsi="Times New Roman" w:cs="Times New Roman"/>
          <w:sz w:val="24"/>
          <w:szCs w:val="24"/>
        </w:rPr>
        <w:t xml:space="preserve"> masculino</w:t>
      </w:r>
      <w:r w:rsidR="00F82956" w:rsidRPr="002459F2">
        <w:rPr>
          <w:rFonts w:ascii="Times New Roman" w:eastAsia="Arial" w:hAnsi="Times New Roman" w:cs="Times New Roman"/>
          <w:sz w:val="24"/>
          <w:szCs w:val="24"/>
        </w:rPr>
        <w:t>s(50,8</w:t>
      </w:r>
      <w:r w:rsidRPr="002459F2">
        <w:rPr>
          <w:rFonts w:ascii="Times New Roman" w:eastAsia="Arial" w:hAnsi="Times New Roman" w:cs="Times New Roman"/>
          <w:sz w:val="24"/>
          <w:szCs w:val="24"/>
        </w:rPr>
        <w:t>%</w:t>
      </w:r>
      <w:r w:rsidR="00F82956" w:rsidRPr="002459F2">
        <w:rPr>
          <w:rFonts w:ascii="Times New Roman" w:eastAsia="Arial" w:hAnsi="Times New Roman" w:cs="Times New Roman"/>
          <w:sz w:val="24"/>
          <w:szCs w:val="24"/>
        </w:rPr>
        <w:t xml:space="preserve">), 488 (47,6%) femininos e 1,6% responderam se considerarem por Outro na classificação de gênero. </w:t>
      </w:r>
      <w:r w:rsidRPr="002459F2">
        <w:rPr>
          <w:rFonts w:ascii="Times New Roman" w:eastAsia="Arial" w:hAnsi="Times New Roman" w:cs="Times New Roman"/>
          <w:sz w:val="24"/>
          <w:szCs w:val="24"/>
        </w:rPr>
        <w:t>Acerca do estado civil dos participantes, 66,9% informaram estarem solteiros (682 participantes), 28,7% mencionaram estarem casados (293 respondentes), 3,9 responderam estando divorciados (40 pessoas) e apenas 0,5% destacaram sendo viúvos (5 participadores).</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No que se refere a renda mensal dos participantes dos eventos do Floripa Conecta pode-se observar que 126 dos participa</w:t>
      </w:r>
      <w:r w:rsidR="00F82956" w:rsidRPr="002459F2">
        <w:rPr>
          <w:rFonts w:ascii="Times New Roman" w:eastAsia="Arial" w:hAnsi="Times New Roman" w:cs="Times New Roman"/>
          <w:sz w:val="24"/>
          <w:szCs w:val="24"/>
        </w:rPr>
        <w:t>ntes, cerca de 13,2% do total, recebia</w:t>
      </w:r>
      <w:r w:rsidRPr="002459F2">
        <w:rPr>
          <w:rFonts w:ascii="Times New Roman" w:eastAsia="Arial" w:hAnsi="Times New Roman" w:cs="Times New Roman"/>
          <w:sz w:val="24"/>
          <w:szCs w:val="24"/>
        </w:rPr>
        <w:t xml:space="preserve"> até 1 salário mínimo</w:t>
      </w:r>
      <w:r w:rsidR="00F82956" w:rsidRPr="002459F2">
        <w:rPr>
          <w:rFonts w:ascii="Times New Roman" w:eastAsia="Arial" w:hAnsi="Times New Roman" w:cs="Times New Roman"/>
          <w:sz w:val="24"/>
          <w:szCs w:val="24"/>
        </w:rPr>
        <w:t xml:space="preserve"> por mês</w:t>
      </w:r>
      <w:r w:rsidRPr="002459F2">
        <w:rPr>
          <w:rFonts w:ascii="Times New Roman" w:eastAsia="Arial" w:hAnsi="Times New Roman" w:cs="Times New Roman"/>
          <w:sz w:val="24"/>
          <w:szCs w:val="24"/>
        </w:rPr>
        <w:t xml:space="preserve">, que na época da pesquisa caracterizava-se no valor de R$998,00. Outros 209 respondentes informaram ter uma renda média entre R$999,00 a R$ 1.999,00. Além disso, 267 encontravam-se recebendo entre R$2.000,00 a R$3.816,00. 151 informaram ter renda mensal entre R$3.817,00 a R$5.724,00. Outros 88 respondentes destacaram receber de R$5.725,00 a R$ 7.632,00. </w:t>
      </w:r>
      <w:r w:rsidR="00F82956" w:rsidRPr="002459F2">
        <w:rPr>
          <w:rFonts w:ascii="Times New Roman" w:eastAsia="Arial" w:hAnsi="Times New Roman" w:cs="Times New Roman"/>
          <w:sz w:val="24"/>
          <w:szCs w:val="24"/>
        </w:rPr>
        <w:t>Por último,</w:t>
      </w:r>
      <w:r w:rsidRPr="002459F2">
        <w:rPr>
          <w:rFonts w:ascii="Times New Roman" w:eastAsia="Arial" w:hAnsi="Times New Roman" w:cs="Times New Roman"/>
          <w:sz w:val="24"/>
          <w:szCs w:val="24"/>
        </w:rPr>
        <w:t xml:space="preserve"> 115 participantes mencionaram receber acima de R$7.633,00 como renda mensal.</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Neste sentido, nota-se que 65,6% dos participantes destes eventos possuíam renda acima de 1 salário mínimo </w:t>
      </w:r>
      <w:r w:rsidR="00F82956" w:rsidRPr="002459F2">
        <w:rPr>
          <w:rFonts w:ascii="Times New Roman" w:eastAsia="Arial" w:hAnsi="Times New Roman" w:cs="Times New Roman"/>
          <w:sz w:val="24"/>
          <w:szCs w:val="24"/>
        </w:rPr>
        <w:t>e abaixo de 5</w:t>
      </w:r>
      <w:r w:rsidRPr="002459F2">
        <w:rPr>
          <w:rFonts w:ascii="Times New Roman" w:eastAsia="Arial" w:hAnsi="Times New Roman" w:cs="Times New Roman"/>
          <w:sz w:val="24"/>
          <w:szCs w:val="24"/>
        </w:rPr>
        <w:t xml:space="preserve"> salários. Somente 21,2% dos participantes tinham como renda mensal mais de 5 salários mínimos. </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Quanto ao nível de escolaridade dos respondentes dos eventos, 482 pessoas informaram ter ensino superior completo, ou seja 47,3% do total de respondentes. Outros 183 </w:t>
      </w:r>
      <w:r w:rsidRPr="002459F2">
        <w:rPr>
          <w:rFonts w:ascii="Times New Roman" w:eastAsia="Arial" w:hAnsi="Times New Roman" w:cs="Times New Roman"/>
          <w:sz w:val="24"/>
          <w:szCs w:val="24"/>
        </w:rPr>
        <w:lastRenderedPageBreak/>
        <w:t>mencionaram ter ensino médio completo, totalizando 18%. No nível de pós-graduação, 170 pessoas informaram terem completado, em torno de 16,7%. Outros 68 informaram ter mestrado, 6,7% dos entrevistados. Próximos 66 participantes possuem formação técnica, ou seja 6,5%. Doutorado foi mencionado por 27 participantes, totalizando 2,7%. E por último, 22 respondentes destacaram ter nível fundamental completo, cerca de 2,2% dos entrevistados. Como base de cálculo, 1.018 pessoas responderam esta pergunta.</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Para analisar o perfil dos participantes dos eventos do Floripa Conecta, foram feitos levantamentos médios sobre idade, média de gasto com viagem, número de pernoites e a nota que os participantes deram para Florianópolis como um todo. Acerca da idade dos participantes, a média dos respondentes foi entre 31 anos. Neste questionamento 1.006 informaram suas idades e a média foi gerada a partir deste número.</w:t>
      </w:r>
    </w:p>
    <w:p w:rsidR="00B011CF" w:rsidRPr="002459F2" w:rsidRDefault="00BF36C4" w:rsidP="002459F2">
      <w:pPr>
        <w:spacing w:after="0" w:line="360" w:lineRule="auto"/>
        <w:ind w:firstLine="1134"/>
        <w:jc w:val="both"/>
        <w:rPr>
          <w:rFonts w:ascii="Times New Roman" w:eastAsia="Arial" w:hAnsi="Times New Roman" w:cs="Times New Roman"/>
          <w:color w:val="0D0D0D"/>
          <w:sz w:val="24"/>
          <w:szCs w:val="24"/>
        </w:rPr>
      </w:pPr>
      <w:r w:rsidRPr="002459F2">
        <w:rPr>
          <w:rFonts w:ascii="Times New Roman" w:eastAsia="Arial" w:hAnsi="Times New Roman" w:cs="Times New Roman"/>
          <w:sz w:val="24"/>
          <w:szCs w:val="24"/>
        </w:rPr>
        <w:t>Com relação à</w:t>
      </w:r>
      <w:r w:rsidR="00551C6E" w:rsidRPr="002459F2">
        <w:rPr>
          <w:rFonts w:ascii="Times New Roman" w:eastAsia="Arial" w:hAnsi="Times New Roman" w:cs="Times New Roman"/>
          <w:sz w:val="24"/>
          <w:szCs w:val="24"/>
        </w:rPr>
        <w:t xml:space="preserve"> média de gastos com a viagem até Florianópolis, cerca de 196 participantes destacaram gastar em média R$1.165,85. Os custos viagem incluem alimentaçã</w:t>
      </w:r>
      <w:r w:rsidR="00551C6E" w:rsidRPr="002459F2">
        <w:rPr>
          <w:rFonts w:ascii="Times New Roman" w:eastAsia="Arial" w:hAnsi="Times New Roman" w:cs="Times New Roman"/>
          <w:color w:val="0D0D0D"/>
          <w:sz w:val="24"/>
          <w:szCs w:val="24"/>
        </w:rPr>
        <w:t>o, passeios e meio de hospedagem, desconsiderando os custos de transporte para chegar na cidade.</w:t>
      </w:r>
    </w:p>
    <w:p w:rsidR="00B011CF" w:rsidRPr="002459F2" w:rsidRDefault="00BF36C4" w:rsidP="002459F2">
      <w:pPr>
        <w:spacing w:after="0" w:line="360" w:lineRule="auto"/>
        <w:ind w:firstLine="1134"/>
        <w:jc w:val="both"/>
        <w:rPr>
          <w:rFonts w:ascii="Times New Roman" w:eastAsia="Arial" w:hAnsi="Times New Roman" w:cs="Times New Roman"/>
          <w:color w:val="0D0D0D"/>
          <w:sz w:val="24"/>
          <w:szCs w:val="24"/>
        </w:rPr>
      </w:pPr>
      <w:r w:rsidRPr="002459F2">
        <w:rPr>
          <w:rFonts w:ascii="Times New Roman" w:eastAsia="Arial" w:hAnsi="Times New Roman" w:cs="Times New Roman"/>
          <w:color w:val="0D0D0D"/>
          <w:sz w:val="24"/>
          <w:szCs w:val="24"/>
        </w:rPr>
        <w:t>O</w:t>
      </w:r>
      <w:r w:rsidR="00551C6E" w:rsidRPr="002459F2">
        <w:rPr>
          <w:rFonts w:ascii="Times New Roman" w:eastAsia="Arial" w:hAnsi="Times New Roman" w:cs="Times New Roman"/>
          <w:color w:val="0D0D0D"/>
          <w:sz w:val="24"/>
          <w:szCs w:val="24"/>
        </w:rPr>
        <w:t xml:space="preserve"> número de pernoites que os participantes</w:t>
      </w:r>
      <w:r w:rsidRPr="002459F2">
        <w:rPr>
          <w:rFonts w:ascii="Times New Roman" w:eastAsia="Arial" w:hAnsi="Times New Roman" w:cs="Times New Roman"/>
          <w:color w:val="0D0D0D"/>
          <w:sz w:val="24"/>
          <w:szCs w:val="24"/>
        </w:rPr>
        <w:t xml:space="preserve"> turistas</w:t>
      </w:r>
      <w:r w:rsidR="00551C6E" w:rsidRPr="002459F2">
        <w:rPr>
          <w:rFonts w:ascii="Times New Roman" w:eastAsia="Arial" w:hAnsi="Times New Roman" w:cs="Times New Roman"/>
          <w:color w:val="0D0D0D"/>
          <w:sz w:val="24"/>
          <w:szCs w:val="24"/>
        </w:rPr>
        <w:t xml:space="preserve"> tiveram</w:t>
      </w:r>
      <w:r w:rsidRPr="002459F2">
        <w:rPr>
          <w:rFonts w:ascii="Times New Roman" w:eastAsia="Arial" w:hAnsi="Times New Roman" w:cs="Times New Roman"/>
          <w:color w:val="0D0D0D"/>
          <w:sz w:val="24"/>
          <w:szCs w:val="24"/>
        </w:rPr>
        <w:t xml:space="preserve"> na cidade foi em média de </w:t>
      </w:r>
      <w:r w:rsidR="00551C6E" w:rsidRPr="002459F2">
        <w:rPr>
          <w:rFonts w:ascii="Times New Roman" w:eastAsia="Arial" w:hAnsi="Times New Roman" w:cs="Times New Roman"/>
          <w:color w:val="0D0D0D"/>
          <w:sz w:val="24"/>
          <w:szCs w:val="24"/>
        </w:rPr>
        <w:t xml:space="preserve">4,2 pernoites nos meios de hospedagem. </w:t>
      </w:r>
    </w:p>
    <w:p w:rsidR="00B011CF" w:rsidRPr="002459F2" w:rsidRDefault="00551C6E" w:rsidP="002459F2">
      <w:pPr>
        <w:spacing w:after="0" w:line="360" w:lineRule="auto"/>
        <w:ind w:firstLine="1134"/>
        <w:jc w:val="both"/>
        <w:rPr>
          <w:rFonts w:ascii="Times New Roman" w:eastAsia="Arial" w:hAnsi="Times New Roman" w:cs="Times New Roman"/>
          <w:color w:val="0D0D0D"/>
          <w:sz w:val="24"/>
          <w:szCs w:val="24"/>
        </w:rPr>
      </w:pPr>
      <w:r w:rsidRPr="002459F2">
        <w:rPr>
          <w:rFonts w:ascii="Times New Roman" w:eastAsia="Arial" w:hAnsi="Times New Roman" w:cs="Times New Roman"/>
          <w:color w:val="0D0D0D"/>
          <w:sz w:val="24"/>
          <w:szCs w:val="24"/>
        </w:rPr>
        <w:t>Referente ao impacto econômico destes participantes na cidade de Florianópolis, ressalta-se um gasto médio de R$ 1.165,85 por participante</w:t>
      </w:r>
      <w:r w:rsidR="00BF36C4" w:rsidRPr="002459F2">
        <w:rPr>
          <w:rFonts w:ascii="Times New Roman" w:eastAsia="Arial" w:hAnsi="Times New Roman" w:cs="Times New Roman"/>
          <w:color w:val="0D0D0D"/>
          <w:sz w:val="24"/>
          <w:szCs w:val="24"/>
        </w:rPr>
        <w:t xml:space="preserve"> turista</w:t>
      </w:r>
      <w:r w:rsidRPr="002459F2">
        <w:rPr>
          <w:rFonts w:ascii="Times New Roman" w:eastAsia="Arial" w:hAnsi="Times New Roman" w:cs="Times New Roman"/>
          <w:color w:val="0D0D0D"/>
          <w:sz w:val="24"/>
          <w:szCs w:val="24"/>
        </w:rPr>
        <w:t xml:space="preserve">, sendo incluso nesse valor o gasto de hospedagem, passeios e alimentação e desconsiderado o valor gasto com transporte para chegada à cidade. </w:t>
      </w:r>
      <w:r w:rsidR="00BF36C4" w:rsidRPr="002459F2">
        <w:rPr>
          <w:rFonts w:ascii="Times New Roman" w:eastAsia="Arial" w:hAnsi="Times New Roman" w:cs="Times New Roman"/>
          <w:color w:val="0D0D0D"/>
          <w:sz w:val="24"/>
          <w:szCs w:val="24"/>
        </w:rPr>
        <w:t>Estimou-se como impacto econômico a partir do cálculo total de turistas em todos os eventos da amostra algo em torno de 30 milhões de reais. Foi multiplicado o valor do gasto médio pela estimativa do número de turistas nos eventos.</w:t>
      </w:r>
    </w:p>
    <w:p w:rsidR="00BF36C4" w:rsidRPr="002459F2" w:rsidRDefault="00BF36C4" w:rsidP="002459F2">
      <w:pPr>
        <w:spacing w:after="0" w:line="360" w:lineRule="auto"/>
        <w:ind w:firstLine="1134"/>
        <w:jc w:val="both"/>
        <w:rPr>
          <w:rFonts w:ascii="Times New Roman" w:eastAsia="Arial" w:hAnsi="Times New Roman" w:cs="Times New Roman"/>
          <w:color w:val="0D0D0D"/>
          <w:sz w:val="24"/>
          <w:szCs w:val="24"/>
        </w:rPr>
      </w:pPr>
    </w:p>
    <w:p w:rsidR="00BF36C4" w:rsidRPr="004851D0" w:rsidRDefault="00BF36C4" w:rsidP="004851D0">
      <w:pPr>
        <w:pStyle w:val="PargrafodaLista"/>
        <w:numPr>
          <w:ilvl w:val="1"/>
          <w:numId w:val="1"/>
        </w:numPr>
        <w:spacing w:after="0" w:line="360" w:lineRule="auto"/>
        <w:jc w:val="both"/>
        <w:rPr>
          <w:rFonts w:ascii="Times New Roman" w:eastAsia="Arial" w:hAnsi="Times New Roman" w:cs="Times New Roman"/>
          <w:b/>
          <w:color w:val="0D0D0D"/>
          <w:sz w:val="24"/>
          <w:szCs w:val="24"/>
        </w:rPr>
      </w:pPr>
      <w:r w:rsidRPr="004851D0">
        <w:rPr>
          <w:rFonts w:ascii="Times New Roman" w:eastAsia="Arial" w:hAnsi="Times New Roman" w:cs="Times New Roman"/>
          <w:b/>
          <w:color w:val="0D0D0D"/>
          <w:sz w:val="24"/>
          <w:szCs w:val="24"/>
        </w:rPr>
        <w:t>Avaliação dos Eventos e da cidade</w:t>
      </w:r>
    </w:p>
    <w:p w:rsidR="00B011CF" w:rsidRPr="002459F2" w:rsidRDefault="00BF36C4" w:rsidP="002459F2">
      <w:pPr>
        <w:spacing w:after="0" w:line="360" w:lineRule="auto"/>
        <w:ind w:firstLine="1134"/>
        <w:jc w:val="both"/>
        <w:rPr>
          <w:rFonts w:ascii="Times New Roman" w:eastAsia="Arial" w:hAnsi="Times New Roman" w:cs="Times New Roman"/>
          <w:b/>
          <w:color w:val="0D0D0D"/>
          <w:sz w:val="24"/>
          <w:szCs w:val="24"/>
        </w:rPr>
      </w:pPr>
      <w:r w:rsidRPr="002459F2">
        <w:rPr>
          <w:rFonts w:ascii="Times New Roman" w:eastAsia="Arial" w:hAnsi="Times New Roman" w:cs="Times New Roman"/>
          <w:color w:val="0D0D0D"/>
          <w:sz w:val="24"/>
          <w:szCs w:val="24"/>
        </w:rPr>
        <w:t>Com relação a</w:t>
      </w:r>
      <w:r w:rsidR="00551C6E" w:rsidRPr="002459F2">
        <w:rPr>
          <w:rFonts w:ascii="Times New Roman" w:eastAsia="Arial" w:hAnsi="Times New Roman" w:cs="Times New Roman"/>
          <w:color w:val="0D0D0D"/>
          <w:sz w:val="24"/>
          <w:szCs w:val="24"/>
        </w:rPr>
        <w:t xml:space="preserve"> nota média que os participantes deram para a cidade, cerca de 960 respondentes informaram seu índice de satisfação </w:t>
      </w:r>
      <w:r w:rsidRPr="002459F2">
        <w:rPr>
          <w:rFonts w:ascii="Times New Roman" w:eastAsia="Arial" w:hAnsi="Times New Roman" w:cs="Times New Roman"/>
          <w:color w:val="0D0D0D"/>
          <w:sz w:val="24"/>
          <w:szCs w:val="24"/>
        </w:rPr>
        <w:t>médio em</w:t>
      </w:r>
      <w:r w:rsidR="00551C6E" w:rsidRPr="002459F2">
        <w:rPr>
          <w:rFonts w:ascii="Times New Roman" w:eastAsia="Arial" w:hAnsi="Times New Roman" w:cs="Times New Roman"/>
          <w:color w:val="0D0D0D"/>
          <w:sz w:val="24"/>
          <w:szCs w:val="24"/>
        </w:rPr>
        <w:t xml:space="preserve"> 8,25 para Florianópolis</w:t>
      </w:r>
      <w:r w:rsidRPr="002459F2">
        <w:rPr>
          <w:rFonts w:ascii="Times New Roman" w:eastAsia="Arial" w:hAnsi="Times New Roman" w:cs="Times New Roman"/>
          <w:color w:val="0D0D0D"/>
          <w:sz w:val="24"/>
          <w:szCs w:val="24"/>
        </w:rPr>
        <w:t xml:space="preserve"> (Mínimo 1 e máximo 10)</w:t>
      </w:r>
      <w:r w:rsidR="00551C6E" w:rsidRPr="002459F2">
        <w:rPr>
          <w:rFonts w:ascii="Times New Roman" w:eastAsia="Arial" w:hAnsi="Times New Roman" w:cs="Times New Roman"/>
          <w:color w:val="0D0D0D"/>
          <w:sz w:val="24"/>
          <w:szCs w:val="24"/>
        </w:rPr>
        <w:t xml:space="preserve">. </w:t>
      </w:r>
    </w:p>
    <w:p w:rsidR="00BF36C4" w:rsidRDefault="00BF36C4"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No tocante</w:t>
      </w:r>
      <w:r w:rsidR="00551C6E" w:rsidRPr="002459F2">
        <w:rPr>
          <w:rFonts w:ascii="Times New Roman" w:eastAsia="Arial" w:hAnsi="Times New Roman" w:cs="Times New Roman"/>
          <w:sz w:val="24"/>
          <w:szCs w:val="24"/>
        </w:rPr>
        <w:t xml:space="preserve"> a percepção</w:t>
      </w:r>
      <w:r w:rsidRPr="002459F2">
        <w:rPr>
          <w:rFonts w:ascii="Times New Roman" w:eastAsia="Arial" w:hAnsi="Times New Roman" w:cs="Times New Roman"/>
          <w:sz w:val="24"/>
          <w:szCs w:val="24"/>
        </w:rPr>
        <w:t xml:space="preserve"> da qualidade</w:t>
      </w:r>
      <w:r w:rsidR="00551C6E" w:rsidRPr="002459F2">
        <w:rPr>
          <w:rFonts w:ascii="Times New Roman" w:eastAsia="Arial" w:hAnsi="Times New Roman" w:cs="Times New Roman"/>
          <w:sz w:val="24"/>
          <w:szCs w:val="24"/>
        </w:rPr>
        <w:t xml:space="preserve"> que os participantes tiveram dos eventos realizados pelo Floripa Conecta, foram utilizados os indicadores</w:t>
      </w:r>
      <w:r w:rsidRPr="002459F2">
        <w:rPr>
          <w:rFonts w:ascii="Times New Roman" w:eastAsia="Arial" w:hAnsi="Times New Roman" w:cs="Times New Roman"/>
          <w:sz w:val="24"/>
          <w:szCs w:val="24"/>
        </w:rPr>
        <w:t xml:space="preserve"> do protocolo</w:t>
      </w:r>
      <w:r w:rsidR="00551C6E" w:rsidRPr="002459F2">
        <w:rPr>
          <w:rFonts w:ascii="Times New Roman" w:eastAsia="Arial" w:hAnsi="Times New Roman" w:cs="Times New Roman"/>
          <w:sz w:val="24"/>
          <w:szCs w:val="24"/>
        </w:rPr>
        <w:t>Tourqual</w:t>
      </w:r>
      <w:r w:rsidRPr="002459F2">
        <w:rPr>
          <w:rFonts w:ascii="Times New Roman" w:eastAsia="Arial" w:hAnsi="Times New Roman" w:cs="Times New Roman"/>
          <w:sz w:val="24"/>
          <w:szCs w:val="24"/>
        </w:rPr>
        <w:t xml:space="preserve"> Eventos (MONDO, 2019)</w:t>
      </w:r>
      <w:r w:rsidR="00D73CDD" w:rsidRPr="002459F2">
        <w:rPr>
          <w:rFonts w:ascii="Times New Roman" w:eastAsia="Arial" w:hAnsi="Times New Roman" w:cs="Times New Roman"/>
          <w:sz w:val="24"/>
          <w:szCs w:val="24"/>
        </w:rPr>
        <w:t>A Tabela 3 apresenta os indicadores e a respectiva avaliação.</w:t>
      </w:r>
    </w:p>
    <w:p w:rsidR="004851D0" w:rsidRPr="004851D0" w:rsidRDefault="004851D0" w:rsidP="004851D0">
      <w:pPr>
        <w:spacing w:after="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Tabela 3 – Avaliação dos Eventos pelos indicadores Tourqual Eventos.</w:t>
      </w:r>
    </w:p>
    <w:tbl>
      <w:tblPr>
        <w:tblStyle w:val="Tabelacomgrade"/>
        <w:tblW w:w="9075" w:type="dxa"/>
        <w:tblLayout w:type="fixed"/>
        <w:tblLook w:val="0600"/>
      </w:tblPr>
      <w:tblGrid>
        <w:gridCol w:w="6060"/>
        <w:gridCol w:w="780"/>
        <w:gridCol w:w="915"/>
        <w:gridCol w:w="1320"/>
      </w:tblGrid>
      <w:tr w:rsidR="00D73CDD" w:rsidRPr="002459F2" w:rsidTr="004851D0">
        <w:trPr>
          <w:trHeight w:val="20"/>
        </w:trPr>
        <w:tc>
          <w:tcPr>
            <w:tcW w:w="6060" w:type="dxa"/>
          </w:tcPr>
          <w:p w:rsidR="00D73CDD" w:rsidRPr="002459F2" w:rsidRDefault="00D73CDD" w:rsidP="004851D0">
            <w:pPr>
              <w:jc w:val="both"/>
              <w:rPr>
                <w:rFonts w:ascii="Times New Roman" w:eastAsia="Times New Roman" w:hAnsi="Times New Roman" w:cs="Times New Roman"/>
                <w:sz w:val="24"/>
                <w:szCs w:val="24"/>
              </w:rPr>
            </w:pPr>
          </w:p>
        </w:tc>
        <w:tc>
          <w:tcPr>
            <w:tcW w:w="780" w:type="dxa"/>
          </w:tcPr>
          <w:p w:rsidR="00D73CDD" w:rsidRPr="002459F2" w:rsidRDefault="00D73CDD" w:rsidP="004851D0">
            <w:pPr>
              <w:jc w:val="center"/>
              <w:rPr>
                <w:rFonts w:ascii="Times New Roman" w:eastAsia="Arial" w:hAnsi="Times New Roman" w:cs="Times New Roman"/>
                <w:sz w:val="24"/>
                <w:szCs w:val="24"/>
              </w:rPr>
            </w:pPr>
            <w:r w:rsidRPr="002459F2">
              <w:rPr>
                <w:rFonts w:ascii="Times New Roman" w:eastAsia="Arial" w:hAnsi="Times New Roman" w:cs="Times New Roman"/>
                <w:sz w:val="24"/>
                <w:szCs w:val="24"/>
              </w:rPr>
              <w:t>N</w:t>
            </w:r>
          </w:p>
        </w:tc>
        <w:tc>
          <w:tcPr>
            <w:tcW w:w="915" w:type="dxa"/>
          </w:tcPr>
          <w:p w:rsidR="00D73CDD" w:rsidRPr="002459F2" w:rsidRDefault="00D73CDD" w:rsidP="004851D0">
            <w:pPr>
              <w:jc w:val="center"/>
              <w:rPr>
                <w:rFonts w:ascii="Times New Roman" w:eastAsia="Arial" w:hAnsi="Times New Roman" w:cs="Times New Roman"/>
                <w:sz w:val="24"/>
                <w:szCs w:val="24"/>
              </w:rPr>
            </w:pPr>
            <w:r w:rsidRPr="002459F2">
              <w:rPr>
                <w:rFonts w:ascii="Times New Roman" w:eastAsia="Arial" w:hAnsi="Times New Roman" w:cs="Times New Roman"/>
                <w:sz w:val="24"/>
                <w:szCs w:val="24"/>
              </w:rPr>
              <w:t>Média</w:t>
            </w:r>
          </w:p>
        </w:tc>
        <w:tc>
          <w:tcPr>
            <w:tcW w:w="1320" w:type="dxa"/>
          </w:tcPr>
          <w:p w:rsidR="00D73CDD" w:rsidRPr="002459F2" w:rsidRDefault="00D73CDD" w:rsidP="004851D0">
            <w:pPr>
              <w:jc w:val="center"/>
              <w:rPr>
                <w:rFonts w:ascii="Times New Roman" w:eastAsia="Arial" w:hAnsi="Times New Roman" w:cs="Times New Roman"/>
                <w:sz w:val="24"/>
                <w:szCs w:val="24"/>
              </w:rPr>
            </w:pPr>
            <w:r w:rsidRPr="002459F2">
              <w:rPr>
                <w:rFonts w:ascii="Times New Roman" w:eastAsia="Arial" w:hAnsi="Times New Roman" w:cs="Times New Roman"/>
                <w:sz w:val="24"/>
                <w:szCs w:val="24"/>
              </w:rPr>
              <w:t>Desvio Padrão</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lastRenderedPageBreak/>
              <w:t>Facilidade de compra dos ingressos para os eventos pagos</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751</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9,06</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1,429</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Atendimento realizado pelo staff do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946</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8,80</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1,625</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Percepção de segurança no local do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987</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8,77</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1,541</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Limpeza das instalações onde ocorreu 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967</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8,68</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1,495</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Infraestrutura do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990</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8,52</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1,525</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Conforto geral no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987</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8,41</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1,588</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Variedade de atividades ofertadas no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950</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8,32</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1,635</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Percepção de segurança na cidade de Florianópolis</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977</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8,17</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1,603</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Filas para entrada no evento, de bares, restaurantes e similares</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980</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8,06</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2,027</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Disponibilidade, localização e limpeza dos banheiros</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921</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8,05</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2,088</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Níveis de preço dos produtos do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825</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7,82</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2,052</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Transporte, Estacionamento e Localização do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957</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7,68</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2,128</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Acessibilidade para PCD</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839</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7,66</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2,388</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Sinalização dentro do evento</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942</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7,61</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2,127</w:t>
            </w:r>
          </w:p>
        </w:tc>
      </w:tr>
      <w:tr w:rsidR="00D73CDD" w:rsidRPr="002459F2" w:rsidTr="004851D0">
        <w:trPr>
          <w:trHeight w:val="20"/>
        </w:trPr>
        <w:tc>
          <w:tcPr>
            <w:tcW w:w="6060" w:type="dxa"/>
          </w:tcPr>
          <w:p w:rsidR="00D73CDD" w:rsidRPr="002459F2" w:rsidRDefault="00D73CDD" w:rsidP="004851D0">
            <w:pPr>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Tecnologia disponibilizada no evento (3G, Wifi, tótens, etc)</w:t>
            </w:r>
          </w:p>
        </w:tc>
        <w:tc>
          <w:tcPr>
            <w:tcW w:w="78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868</w:t>
            </w:r>
          </w:p>
        </w:tc>
        <w:tc>
          <w:tcPr>
            <w:tcW w:w="915"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7,06</w:t>
            </w:r>
          </w:p>
        </w:tc>
        <w:tc>
          <w:tcPr>
            <w:tcW w:w="1320" w:type="dxa"/>
          </w:tcPr>
          <w:p w:rsidR="00D73CDD" w:rsidRPr="002459F2" w:rsidRDefault="00D73CDD" w:rsidP="004851D0">
            <w:pPr>
              <w:jc w:val="right"/>
              <w:rPr>
                <w:rFonts w:ascii="Times New Roman" w:eastAsia="Arial" w:hAnsi="Times New Roman" w:cs="Times New Roman"/>
                <w:sz w:val="24"/>
                <w:szCs w:val="24"/>
              </w:rPr>
            </w:pPr>
            <w:r w:rsidRPr="002459F2">
              <w:rPr>
                <w:rFonts w:ascii="Times New Roman" w:eastAsia="Arial" w:hAnsi="Times New Roman" w:cs="Times New Roman"/>
                <w:sz w:val="24"/>
                <w:szCs w:val="24"/>
              </w:rPr>
              <w:t>2,585</w:t>
            </w:r>
          </w:p>
        </w:tc>
      </w:tr>
    </w:tbl>
    <w:p w:rsidR="00D73CDD" w:rsidRPr="002459F2" w:rsidRDefault="004851D0" w:rsidP="004851D0">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Fonte: dados primários (2019).</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No que se refere a facilidade de compra dos ingressos para participar dos eventos pagos, 751 respondentes deram uma nota média de 9,06 o que demonstra a satisfação deste serviço pelos usuários. O indicador de facilidade de compra do modelo Tourqual analisa qual grau de dificuldade os clientes encontraram ao adquirir o ingresso para entrada no local. Visto que este indicador impacta na finalização ou não da compra.</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Quanto ao atendimento realizado pelo staff dos eventos, 946 participantes deram em média 8,80 para este indicador, o que demonstra opiniões acima da média quanto ao atendimento. O atendimento por staff está desde o primeiro contato com o participante até a saída dele do evento, sendo avaliado em todos os dias da realização. De modo geral, foi bem avaliado o atendimento prestado nos eventos mas não cem por cento satisfatório.</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Com relação a percepção de segurança no local do evento, este indicador teve média de 8,77 com relação a avaliação de 987 participantes. O que demonstra um nível bom de avaliação, com um desvio padrão de 1,54. A segurança no local percebida pelos visitantes vai além da segurança efetivamente in loco. Demonstra todo o sentimento que o participante obteve na entrada, saída e permanência. Ou seja, os participantes se sentiram seguros, o que vai além da segurança humana efetiva em cada evento. </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Relacionado a limpeza nas instalações dos eventos 967 pessoas responderam esse questionamento gerando uma nota média de 8,68 nas avaliações. Este índice com desvio padrão de 1,49, demonstra que os participantes avaliaram a limpeza dos locais sendo boa, o que positivamente é bem visto nas avaliações estatísticas sobre eventos e percepção de qualidade nesses locais.</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lastRenderedPageBreak/>
        <w:t>Acerca da infraestrutura, o indicador teve média 8,52 sendo avaliado por 990 participantes. Esta avaliação demonstra satisfação dos integrantes do evento já que obteve-se uma média alta.</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Sobre o conforto geral do evento, a média dada foi 8,41 resultantes de 987 respondentes para este indicador, com desvio padrão de 1,58. Tal fato demonstrou que muitos participantes se sentiram confortáveis com os eventos realizados. O indicador de conforto geral indica o quão satisfeito o participante se sentiu nesses locais e a partir disso, se há ou não probabilidade de retorno ao evento.</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Quanto à variedade de atividades ofertadas no evento, a média deste indicador foi 8,32 referentes a 950 respondentes.  Neste sentido, nota-se que o indicador foi bem avaliado, mas não obteve-se índices satisfatórios, o que representa que a não há variedade de atividades ou que não são consideradas suficientes na visão de quem frequentou os eventos.</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No que se refere à percepção de segurança na cidade de Florianópolis, no total a média de avaliação dos participantes foi 8,17 com desvio padrão de 1,60 na percepção de 977 componentes dos eventos. Com este índice, percebe-se que a satisfação de segurança na cidade não foi satisfatória o que impacta negativamente quanto ao retorno deste participante ou do destino ser sede novamente deste evento.</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Em relação a espera em filas para entrada ao evento, para o serviço de bar, restaurante e similares, a média de avaliações foi 8,06 referentes a opinião de 980 respondentes e com um desvio de padrão de 2,02. Isso refere-se a avaliação sendo considerada boa, mas devido ao desvio, não podendo ser concreto o percentual de satisfação. Todavia, a demora neste quesito impacta negativamente qualquer experiência final dos participantes e por isso deve ser reavaliada pelos organizadores de eventos.</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Quanto à disponibilidade, localização e limpeza dos banheiros a média de avaliação foi 8,05 relativos </w:t>
      </w:r>
      <w:r w:rsidR="00AD4230">
        <w:rPr>
          <w:rFonts w:ascii="Times New Roman" w:eastAsia="Arial" w:hAnsi="Times New Roman" w:cs="Times New Roman"/>
          <w:sz w:val="24"/>
          <w:szCs w:val="24"/>
        </w:rPr>
        <w:t>a</w:t>
      </w:r>
      <w:r w:rsidRPr="002459F2">
        <w:rPr>
          <w:rFonts w:ascii="Times New Roman" w:eastAsia="Arial" w:hAnsi="Times New Roman" w:cs="Times New Roman"/>
          <w:sz w:val="24"/>
          <w:szCs w:val="24"/>
        </w:rPr>
        <w:t xml:space="preserve"> 921 respondentes e com desvio padrão de 2,08. Tal fat</w:t>
      </w:r>
      <w:r w:rsidR="00AD4230">
        <w:rPr>
          <w:rFonts w:ascii="Times New Roman" w:eastAsia="Arial" w:hAnsi="Times New Roman" w:cs="Times New Roman"/>
          <w:sz w:val="24"/>
          <w:szCs w:val="24"/>
        </w:rPr>
        <w:t>o não demonstra a concretude</w:t>
      </w:r>
      <w:r w:rsidRPr="002459F2">
        <w:rPr>
          <w:rFonts w:ascii="Times New Roman" w:eastAsia="Arial" w:hAnsi="Times New Roman" w:cs="Times New Roman"/>
          <w:sz w:val="24"/>
          <w:szCs w:val="24"/>
        </w:rPr>
        <w:t xml:space="preserve"> da avaliação, mas resulta em não satisfação total dos participantes neste quesito.</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No que tange, aos níveis de preço dos produtos o índice obteve</w:t>
      </w:r>
      <w:r w:rsidR="00AD4230">
        <w:rPr>
          <w:rFonts w:ascii="Times New Roman" w:eastAsia="Arial" w:hAnsi="Times New Roman" w:cs="Times New Roman"/>
          <w:sz w:val="24"/>
          <w:szCs w:val="24"/>
        </w:rPr>
        <w:t xml:space="preserve"> uma média de 7,82 pertinentes a</w:t>
      </w:r>
      <w:r w:rsidRPr="002459F2">
        <w:rPr>
          <w:rFonts w:ascii="Times New Roman" w:eastAsia="Arial" w:hAnsi="Times New Roman" w:cs="Times New Roman"/>
          <w:sz w:val="24"/>
          <w:szCs w:val="24"/>
        </w:rPr>
        <w:t xml:space="preserve"> 825 respostas. Neste sentido pode-se observar que os participantes não visualizaram um bom custo benefício dos produtos adquiridos nos eventos. Embora com desvio de 2,05, a média final das avaliações foi razoável e demonstra a não aceitação dos preços por grande parte do público.</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Relacionado a avaliação de transporte, estacionamento e localização do evento, 957 participantes responderam este indicador que teve média de avaliações de 7,68 com </w:t>
      </w:r>
      <w:r w:rsidRPr="002459F2">
        <w:rPr>
          <w:rFonts w:ascii="Times New Roman" w:eastAsia="Arial" w:hAnsi="Times New Roman" w:cs="Times New Roman"/>
          <w:sz w:val="24"/>
          <w:szCs w:val="24"/>
        </w:rPr>
        <w:lastRenderedPageBreak/>
        <w:t>desvio padrão de 2,12. Nota-se que foi uma média razoável embora o número de eventos seja grande e em diversas localidades diferentes. Este indicador engloba o acesso aos locais e a primeira impressão na chegada dos participantes, por isso esta nota pode ser considerada como ponto negativo na experiência final dos participantes dos eventos.</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Acerca da acessibilidade para pessoas com deficiência - PCD, este indicador teve média de 7,66 com base nas 839 avaliações. Esta nota também foi razoável, demonstrando a acessibilidade não sendo totalmente adaptada nos locais. Pela diversidade de locais para cada evento do Floripa Conecta, não é possível identificar quais deles não são acessíveis. De todo modo, investir em acessibilidade abrange um público maior aos eventos, visto que 24% da população brasileira possui algum tipo de deficiência, segundo último levantamento do IBGE (2010).</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Com relação à sinalização dentro do evento, este indicador teve nota média de 7,61 também sendo considerada mediana devido ao número de respondentes de 942. A sinalização demonstra a comunicação interna dentro dos locais para auxiliar os participantes. Apesar de não ser extremamente notada quando há, na falta de sinalização a avaliação de transforma negativa pelo público.</w:t>
      </w:r>
    </w:p>
    <w:p w:rsidR="00B011CF" w:rsidRPr="002459F2" w:rsidRDefault="00551C6E" w:rsidP="002459F2">
      <w:pPr>
        <w:spacing w:after="0" w:line="360" w:lineRule="auto"/>
        <w:ind w:firstLine="1134"/>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Sobre a tecnologia presente nos eventos como wi-fi , 3G, tótens e etc, 868 participan</w:t>
      </w:r>
      <w:r w:rsidR="00AD4230">
        <w:rPr>
          <w:rFonts w:ascii="Times New Roman" w:eastAsia="Arial" w:hAnsi="Times New Roman" w:cs="Times New Roman"/>
          <w:sz w:val="24"/>
          <w:szCs w:val="24"/>
        </w:rPr>
        <w:t>tes responderam esta pergunta</w:t>
      </w:r>
      <w:r w:rsidRPr="002459F2">
        <w:rPr>
          <w:rFonts w:ascii="Times New Roman" w:eastAsia="Arial" w:hAnsi="Times New Roman" w:cs="Times New Roman"/>
          <w:sz w:val="24"/>
          <w:szCs w:val="24"/>
        </w:rPr>
        <w:t xml:space="preserve"> que obteve nota média de 7,06 e com desvio padrão de 2,58. Um desvio considerado alto em uma média considerada razoavelmente baixa, demonstra que fatores tecnológicos impactam na experiência dos participantes de eventos que não consideraram excelente este indicador.Por fim, a média final da</w:t>
      </w:r>
      <w:r w:rsidR="00AD4230">
        <w:rPr>
          <w:rFonts w:ascii="Times New Roman" w:eastAsia="Arial" w:hAnsi="Times New Roman" w:cs="Times New Roman"/>
          <w:sz w:val="24"/>
          <w:szCs w:val="24"/>
        </w:rPr>
        <w:t>s avaliações do evento foi 8,19.</w:t>
      </w:r>
    </w:p>
    <w:p w:rsidR="004851D0" w:rsidRDefault="004851D0" w:rsidP="004851D0">
      <w:pPr>
        <w:spacing w:after="0" w:line="360" w:lineRule="auto"/>
        <w:jc w:val="both"/>
        <w:rPr>
          <w:rFonts w:ascii="Times New Roman" w:eastAsia="Arial" w:hAnsi="Times New Roman" w:cs="Times New Roman"/>
          <w:b/>
          <w:sz w:val="24"/>
          <w:szCs w:val="24"/>
        </w:rPr>
      </w:pPr>
    </w:p>
    <w:p w:rsidR="00B011CF" w:rsidRPr="004851D0" w:rsidRDefault="00551C6E" w:rsidP="004851D0">
      <w:pPr>
        <w:pStyle w:val="PargrafodaLista"/>
        <w:numPr>
          <w:ilvl w:val="0"/>
          <w:numId w:val="1"/>
        </w:numPr>
        <w:spacing w:after="0" w:line="360" w:lineRule="auto"/>
        <w:jc w:val="both"/>
        <w:rPr>
          <w:rFonts w:ascii="Times New Roman" w:eastAsia="Arial" w:hAnsi="Times New Roman" w:cs="Times New Roman"/>
          <w:b/>
          <w:sz w:val="24"/>
          <w:szCs w:val="24"/>
        </w:rPr>
      </w:pPr>
      <w:r w:rsidRPr="004851D0">
        <w:rPr>
          <w:rFonts w:ascii="Times New Roman" w:eastAsia="Arial" w:hAnsi="Times New Roman" w:cs="Times New Roman"/>
          <w:b/>
          <w:sz w:val="24"/>
          <w:szCs w:val="24"/>
        </w:rPr>
        <w:t>CONCLUSÃO</w:t>
      </w:r>
    </w:p>
    <w:p w:rsidR="00B011CF" w:rsidRDefault="00B011CF" w:rsidP="002459F2">
      <w:pPr>
        <w:spacing w:after="0" w:line="360" w:lineRule="auto"/>
        <w:ind w:firstLine="1134"/>
        <w:jc w:val="both"/>
        <w:rPr>
          <w:rFonts w:ascii="Times New Roman" w:eastAsia="Arial" w:hAnsi="Times New Roman" w:cs="Times New Roman"/>
          <w:b/>
          <w:sz w:val="24"/>
          <w:szCs w:val="24"/>
        </w:rPr>
      </w:pPr>
    </w:p>
    <w:p w:rsidR="00F61D5E" w:rsidRDefault="00F61D5E" w:rsidP="002459F2">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O turismo de eventos tem desempenhado papel fundamental no combate à sazonalidade e aos impactos da baixa temporada em destinos turísticos. Tal questão se aprofunda quando em questão tem-se destinos que historicamente se desenvolveram baseado na lógica do Turismo Sol e Mar de verão, normalmente com características clássicas do turismo de massa.</w:t>
      </w:r>
    </w:p>
    <w:p w:rsidR="00F61D5E" w:rsidRDefault="00F61D5E" w:rsidP="002459F2">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Florianópolis tem se destaco no cenário brasileiro nos últimos 10 anos por aliar qualidade de vida para a população, organização do turismo e fomento a setores da inovação tecnológica. Frequentemente presente nos rankings da ICCA, a cidade conseguiu incorporar o turismo de eventos em sua realidade. Entretanto, os impactos da baixa temporada nos meses </w:t>
      </w:r>
      <w:r>
        <w:rPr>
          <w:rFonts w:ascii="Times New Roman" w:eastAsia="Arial" w:hAnsi="Times New Roman" w:cs="Times New Roman"/>
          <w:sz w:val="24"/>
          <w:szCs w:val="24"/>
        </w:rPr>
        <w:lastRenderedPageBreak/>
        <w:t xml:space="preserve">de Junho e Agosto ainda são evidentes. Como forma de valorizar a cultura da cidade, as iniciativas </w:t>
      </w:r>
      <w:r w:rsidR="006B03F2">
        <w:rPr>
          <w:rFonts w:ascii="Times New Roman" w:eastAsia="Arial" w:hAnsi="Times New Roman" w:cs="Times New Roman"/>
          <w:sz w:val="24"/>
          <w:szCs w:val="24"/>
        </w:rPr>
        <w:t>dos empresários, artistas e da própria comunidade surgiu o Floripa Conecta, que entre outros objetivos, do ponto de vista turístico vislumbra a execução de inúmeros eventos no mês de Agosto como forma de movimentar a cidade em um mês que é historicamente o pior em movimentação e arrecadação turística.</w:t>
      </w:r>
    </w:p>
    <w:p w:rsidR="006B03F2" w:rsidRDefault="006B03F2" w:rsidP="002459F2">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Com a realização da pesquisa, que abordou 1025 participantes em 10 eventos no mês de Agosto de 2019 verificou-se que destes, 30% eram turísticas. Após os cálculos de impacto econômico, chegou-se a um valor de R$ 30 milhões de impacto direto. Puxado pelos eventos técnico-científicos, muitos envolvendo a área da tecnologia, o movimento Floripa Conecta se mostra eficiente no combate aos impactos negativos da sazonalidade e, se os organizadores continuarem com o mesmo, tende a se transformar em um grande e interessante movimento para a valorização da cidade, não somente do prisma turístico.</w:t>
      </w:r>
    </w:p>
    <w:p w:rsidR="006B03F2" w:rsidRDefault="006B03F2" w:rsidP="002459F2">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Importante salientar também a intersecção dos setores do turismo e da tecnologia. Por Florianópolis ser destaque nacional nas duas áreas, a pesquisa identificou que existe uma vasta rede de possibilidades para desenvolvimento de projetos e eventos entre os dois setores.</w:t>
      </w:r>
    </w:p>
    <w:p w:rsidR="006B03F2" w:rsidRDefault="006B03F2" w:rsidP="002459F2">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Do ponto de vista da avaliação dos eventos, por meio dos indicadores do protocolo Tourqual, a pesquisa encontrou uma divergência interessante. Por mais que boa parte dos eventos fossem tecnológicos, o indicador de tecnologia foi o pior avaliado. Indica-se aqui uma sugestão gerencial para verificação dos indicadores de tecnologia, sinalização e mobilidade, para que os organizadores consigam elevar a avaliação dos eventos e a consequente satisfação dos participantes.</w:t>
      </w:r>
    </w:p>
    <w:p w:rsidR="006B03F2" w:rsidRDefault="006B03F2" w:rsidP="002459F2">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Indica-se como futuras pesquisas a continuação da pesquisa nos próximos anos para elaboração de séries históricas. Além disso, pesquisas qualitativas com os organizadores dos eventos sobre o movimento pode ser uma estratégia interessante para correlação de dados.</w:t>
      </w:r>
    </w:p>
    <w:p w:rsidR="006B03F2" w:rsidRPr="00F61D5E" w:rsidRDefault="006B03F2" w:rsidP="002459F2">
      <w:pPr>
        <w:spacing w:after="0" w:line="360" w:lineRule="auto"/>
        <w:ind w:firstLine="1134"/>
        <w:jc w:val="both"/>
        <w:rPr>
          <w:rFonts w:ascii="Times New Roman" w:eastAsia="Arial" w:hAnsi="Times New Roman" w:cs="Times New Roman"/>
          <w:sz w:val="24"/>
          <w:szCs w:val="24"/>
        </w:rPr>
      </w:pPr>
      <w:r>
        <w:rPr>
          <w:rFonts w:ascii="Times New Roman" w:eastAsia="Arial" w:hAnsi="Times New Roman" w:cs="Times New Roman"/>
          <w:sz w:val="24"/>
          <w:szCs w:val="24"/>
        </w:rPr>
        <w:t>Por fim, considera-se o movimento Floripa Conecta uma estratégia altamente potencial na valorização da cidade de Florianópolis como cidade, como destino turístico e como polo de inovação e tecnologia.</w:t>
      </w:r>
    </w:p>
    <w:p w:rsidR="00B011CF" w:rsidRPr="002459F2" w:rsidRDefault="00B011CF" w:rsidP="002459F2">
      <w:pPr>
        <w:spacing w:after="0" w:line="360" w:lineRule="auto"/>
        <w:ind w:firstLine="1134"/>
        <w:jc w:val="both"/>
        <w:rPr>
          <w:rFonts w:ascii="Times New Roman" w:eastAsia="Arial" w:hAnsi="Times New Roman" w:cs="Times New Roman"/>
          <w:b/>
          <w:sz w:val="24"/>
          <w:szCs w:val="24"/>
        </w:rPr>
      </w:pPr>
    </w:p>
    <w:p w:rsidR="00B011CF" w:rsidRPr="004851D0" w:rsidRDefault="00551C6E" w:rsidP="004851D0">
      <w:pPr>
        <w:pStyle w:val="PargrafodaLista"/>
        <w:numPr>
          <w:ilvl w:val="0"/>
          <w:numId w:val="1"/>
        </w:numPr>
        <w:spacing w:after="0" w:line="360" w:lineRule="auto"/>
        <w:jc w:val="both"/>
        <w:rPr>
          <w:rFonts w:ascii="Times New Roman" w:eastAsia="Arial" w:hAnsi="Times New Roman" w:cs="Times New Roman"/>
          <w:b/>
          <w:sz w:val="24"/>
          <w:szCs w:val="24"/>
        </w:rPr>
      </w:pPr>
      <w:r w:rsidRPr="004851D0">
        <w:rPr>
          <w:rFonts w:ascii="Times New Roman" w:eastAsia="Arial" w:hAnsi="Times New Roman" w:cs="Times New Roman"/>
          <w:b/>
          <w:sz w:val="24"/>
          <w:szCs w:val="24"/>
        </w:rPr>
        <w:t>REFERÊNCIAS</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ALLEN, J., MCDONALD, I. &amp; WILLIAM, O. (2003): </w:t>
      </w:r>
      <w:r w:rsidRPr="002459F2">
        <w:rPr>
          <w:rFonts w:ascii="Times New Roman" w:eastAsia="Arial" w:hAnsi="Times New Roman" w:cs="Times New Roman"/>
          <w:b/>
          <w:sz w:val="24"/>
          <w:szCs w:val="24"/>
        </w:rPr>
        <w:t>Organização e Gestão de Eventos</w:t>
      </w:r>
      <w:r w:rsidRPr="002459F2">
        <w:rPr>
          <w:rFonts w:ascii="Times New Roman" w:eastAsia="Arial" w:hAnsi="Times New Roman" w:cs="Times New Roman"/>
          <w:sz w:val="24"/>
          <w:szCs w:val="24"/>
        </w:rPr>
        <w:t>. Campus Ed., Rio de Janeiro.</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 xml:space="preserve">ALMEIDA, Henrique Silveira de; TOLEDO, José Carlos de. Qualidade total do produto. </w:t>
      </w:r>
      <w:r w:rsidRPr="002459F2">
        <w:rPr>
          <w:rFonts w:ascii="Times New Roman" w:eastAsia="Arial" w:hAnsi="Times New Roman" w:cs="Times New Roman"/>
          <w:b/>
          <w:sz w:val="24"/>
          <w:szCs w:val="24"/>
          <w:highlight w:val="white"/>
        </w:rPr>
        <w:t>Production</w:t>
      </w:r>
      <w:r w:rsidRPr="002459F2">
        <w:rPr>
          <w:rFonts w:ascii="Times New Roman" w:eastAsia="Arial" w:hAnsi="Times New Roman" w:cs="Times New Roman"/>
          <w:sz w:val="24"/>
          <w:szCs w:val="24"/>
          <w:highlight w:val="white"/>
        </w:rPr>
        <w:t>, v. 2, n. 1, p. 21-37, 2013.</w:t>
      </w:r>
    </w:p>
    <w:p w:rsidR="00D001FB" w:rsidRPr="002459F2" w:rsidRDefault="00D001FB" w:rsidP="004851D0">
      <w:pPr>
        <w:spacing w:after="0" w:line="360" w:lineRule="auto"/>
        <w:jc w:val="both"/>
        <w:rPr>
          <w:rFonts w:ascii="Times New Roman" w:eastAsia="Roboto" w:hAnsi="Times New Roman" w:cs="Times New Roman"/>
          <w:sz w:val="24"/>
          <w:szCs w:val="24"/>
          <w:highlight w:val="white"/>
        </w:rPr>
      </w:pPr>
      <w:r w:rsidRPr="00313014">
        <w:rPr>
          <w:rFonts w:ascii="Times New Roman" w:eastAsia="Roboto" w:hAnsi="Times New Roman" w:cs="Times New Roman"/>
          <w:sz w:val="24"/>
          <w:szCs w:val="24"/>
          <w:highlight w:val="white"/>
          <w:lang w:val="en-US"/>
        </w:rPr>
        <w:lastRenderedPageBreak/>
        <w:t xml:space="preserve">BBC. </w:t>
      </w:r>
      <w:r w:rsidRPr="00313014">
        <w:rPr>
          <w:rFonts w:ascii="Times New Roman" w:eastAsia="Roboto" w:hAnsi="Times New Roman" w:cs="Times New Roman"/>
          <w:b/>
          <w:sz w:val="24"/>
          <w:szCs w:val="24"/>
          <w:highlight w:val="white"/>
          <w:lang w:val="en-US"/>
        </w:rPr>
        <w:t xml:space="preserve">Brazil'sbid for tech-poweredeconomy. </w:t>
      </w:r>
      <w:r w:rsidRPr="002459F2">
        <w:rPr>
          <w:rFonts w:ascii="Times New Roman" w:eastAsia="Roboto" w:hAnsi="Times New Roman" w:cs="Times New Roman"/>
          <w:sz w:val="24"/>
          <w:szCs w:val="24"/>
          <w:highlight w:val="white"/>
        </w:rPr>
        <w:t>2009. Disponível em: &lt;http://news.bbc.co.uk/2/hi/programmes/click_online/8284704.stm&gt;. Acesso em: 08 dez. 2019.</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BRANCO, Gabriela Musse; RIBEIRO, José Luis Duarte; TINOCO, Maria Auxiliadora Cannarozzo. Determinantes da satisfação e atributos da qualidade em serviços de hotelaria.</w:t>
      </w:r>
      <w:r w:rsidRPr="002459F2">
        <w:rPr>
          <w:rFonts w:ascii="Times New Roman" w:eastAsia="Arial" w:hAnsi="Times New Roman" w:cs="Times New Roman"/>
          <w:b/>
          <w:sz w:val="24"/>
          <w:szCs w:val="24"/>
        </w:rPr>
        <w:t xml:space="preserve"> Prod.</w:t>
      </w:r>
      <w:r w:rsidRPr="002459F2">
        <w:rPr>
          <w:rFonts w:ascii="Times New Roman" w:eastAsia="Arial" w:hAnsi="Times New Roman" w:cs="Times New Roman"/>
          <w:sz w:val="24"/>
          <w:szCs w:val="24"/>
        </w:rPr>
        <w:t>,  São Paulo ,  v. 20, n. 4, Dec.  2010.</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 xml:space="preserve">COUTINHO, Hevellyn Pérola Menezes; COUTINHO, Helen Rita Menezes. Turismo de eventos como alternativa para o problema da sazonalidade turística. </w:t>
      </w:r>
      <w:r w:rsidRPr="002459F2">
        <w:rPr>
          <w:rFonts w:ascii="Times New Roman" w:eastAsia="Arial" w:hAnsi="Times New Roman" w:cs="Times New Roman"/>
          <w:b/>
          <w:sz w:val="24"/>
          <w:szCs w:val="24"/>
          <w:highlight w:val="white"/>
        </w:rPr>
        <w:t>Revista Eletrônica Aboré. Publicação da Escola Superior de Artes e Turismo. Edição</w:t>
      </w:r>
      <w:r w:rsidRPr="002459F2">
        <w:rPr>
          <w:rFonts w:ascii="Times New Roman" w:eastAsia="Arial" w:hAnsi="Times New Roman" w:cs="Times New Roman"/>
          <w:sz w:val="24"/>
          <w:szCs w:val="24"/>
          <w:highlight w:val="white"/>
        </w:rPr>
        <w:t>, v. 3, 2007.</w:t>
      </w:r>
    </w:p>
    <w:p w:rsidR="00D001FB" w:rsidRPr="00313014" w:rsidRDefault="00D001FB" w:rsidP="004851D0">
      <w:pPr>
        <w:spacing w:after="0" w:line="360" w:lineRule="auto"/>
        <w:jc w:val="both"/>
        <w:rPr>
          <w:rFonts w:ascii="Times New Roman" w:eastAsia="Arial" w:hAnsi="Times New Roman" w:cs="Times New Roman"/>
          <w:sz w:val="24"/>
          <w:szCs w:val="24"/>
          <w:highlight w:val="white"/>
          <w:lang w:val="en-US"/>
        </w:rPr>
      </w:pPr>
      <w:r w:rsidRPr="002459F2">
        <w:rPr>
          <w:rFonts w:ascii="Times New Roman" w:eastAsia="Arial" w:hAnsi="Times New Roman" w:cs="Times New Roman"/>
          <w:sz w:val="24"/>
          <w:szCs w:val="24"/>
          <w:highlight w:val="white"/>
        </w:rPr>
        <w:t xml:space="preserve">DE MATOS, Celso Augusto; VEIGA, Ricardo Teixeira. Avaliação da qualidade percebida de serviços: um estudo em uma organização não-governamental. </w:t>
      </w:r>
      <w:r w:rsidRPr="00313014">
        <w:rPr>
          <w:rFonts w:ascii="Times New Roman" w:eastAsia="Arial" w:hAnsi="Times New Roman" w:cs="Times New Roman"/>
          <w:b/>
          <w:sz w:val="24"/>
          <w:szCs w:val="24"/>
          <w:highlight w:val="white"/>
          <w:lang w:val="en-US"/>
        </w:rPr>
        <w:t>Caderno de Pesquisas em Administração</w:t>
      </w:r>
      <w:r w:rsidRPr="00313014">
        <w:rPr>
          <w:rFonts w:ascii="Times New Roman" w:eastAsia="Arial" w:hAnsi="Times New Roman" w:cs="Times New Roman"/>
          <w:sz w:val="24"/>
          <w:szCs w:val="24"/>
          <w:highlight w:val="white"/>
          <w:lang w:val="en-US"/>
        </w:rPr>
        <w:t>, v. 7, n. 3, p. 27-42, 2000.</w:t>
      </w:r>
    </w:p>
    <w:p w:rsidR="00D001FB" w:rsidRPr="00313014" w:rsidRDefault="00D001FB" w:rsidP="004851D0">
      <w:pPr>
        <w:spacing w:after="0" w:line="360" w:lineRule="auto"/>
        <w:jc w:val="both"/>
        <w:rPr>
          <w:rFonts w:ascii="Times New Roman" w:eastAsia="Arial" w:hAnsi="Times New Roman" w:cs="Times New Roman"/>
          <w:sz w:val="24"/>
          <w:szCs w:val="24"/>
          <w:lang w:val="en-US"/>
        </w:rPr>
      </w:pPr>
      <w:r w:rsidRPr="00313014">
        <w:rPr>
          <w:rFonts w:ascii="Times New Roman" w:eastAsia="Arial" w:hAnsi="Times New Roman" w:cs="Times New Roman"/>
          <w:sz w:val="24"/>
          <w:szCs w:val="24"/>
          <w:lang w:val="en-US"/>
        </w:rPr>
        <w:t>Donabedian A. Explorations in qualityassessmentandmonitoringthecriteriaand standards ofquality. Ann Arbor: Health Administration Press; 1980</w:t>
      </w:r>
    </w:p>
    <w:p w:rsidR="00D001FB" w:rsidRDefault="00D001FB" w:rsidP="00D001FB">
      <w:pPr>
        <w:rPr>
          <w:rFonts w:ascii="Times New Roman" w:hAnsi="Times New Roman" w:cs="Times New Roman"/>
          <w:color w:val="222222"/>
          <w:sz w:val="24"/>
          <w:szCs w:val="24"/>
          <w:shd w:val="clear" w:color="auto" w:fill="FFFFFF"/>
        </w:rPr>
      </w:pPr>
      <w:r w:rsidRPr="00313014">
        <w:rPr>
          <w:rFonts w:ascii="Times New Roman" w:hAnsi="Times New Roman" w:cs="Times New Roman"/>
          <w:color w:val="222222"/>
          <w:sz w:val="24"/>
          <w:szCs w:val="24"/>
          <w:shd w:val="clear" w:color="auto" w:fill="FFFFFF"/>
          <w:lang w:val="en-US"/>
        </w:rPr>
        <w:t xml:space="preserve">DONABEDIAN, Avedis. Explorations in qualityassessmentandmonitoring. </w:t>
      </w:r>
      <w:r w:rsidRPr="00D001FB">
        <w:rPr>
          <w:rFonts w:ascii="Times New Roman" w:hAnsi="Times New Roman" w:cs="Times New Roman"/>
          <w:color w:val="222222"/>
          <w:sz w:val="24"/>
          <w:szCs w:val="24"/>
          <w:shd w:val="clear" w:color="auto" w:fill="FFFFFF"/>
        </w:rPr>
        <w:t>1980.</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 xml:space="preserve">FECOMÉRCIO SC. </w:t>
      </w:r>
      <w:r w:rsidRPr="002459F2">
        <w:rPr>
          <w:rFonts w:ascii="Times New Roman" w:eastAsia="Arial" w:hAnsi="Times New Roman" w:cs="Times New Roman"/>
          <w:b/>
          <w:sz w:val="24"/>
          <w:szCs w:val="24"/>
          <w:highlight w:val="white"/>
        </w:rPr>
        <w:t xml:space="preserve">Pesquisa Fecomércio SC Turismo de Verão no Litoral Catarinense 2018. </w:t>
      </w:r>
      <w:r w:rsidRPr="002459F2">
        <w:rPr>
          <w:rFonts w:ascii="Times New Roman" w:eastAsia="Arial" w:hAnsi="Times New Roman" w:cs="Times New Roman"/>
          <w:sz w:val="24"/>
          <w:szCs w:val="24"/>
          <w:highlight w:val="white"/>
        </w:rPr>
        <w:t>Florianópolis: Núcleo de Pesquisas FecomércioSc, 2018. 32 p</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FECOMÉRCIO SC. Pesquisas Fecomércio SC. </w:t>
      </w:r>
      <w:r w:rsidRPr="002459F2">
        <w:rPr>
          <w:rFonts w:ascii="Times New Roman" w:eastAsia="Arial" w:hAnsi="Times New Roman" w:cs="Times New Roman"/>
          <w:sz w:val="24"/>
          <w:szCs w:val="24"/>
          <w:highlight w:val="white"/>
        </w:rPr>
        <w:t xml:space="preserve">Florianópolis: </w:t>
      </w:r>
      <w:r w:rsidRPr="002459F2">
        <w:rPr>
          <w:rFonts w:ascii="Times New Roman" w:eastAsia="Arial" w:hAnsi="Times New Roman" w:cs="Times New Roman"/>
          <w:b/>
          <w:sz w:val="24"/>
          <w:szCs w:val="24"/>
          <w:highlight w:val="white"/>
        </w:rPr>
        <w:t>Núcleo de Pesquisas Fecomércio SC</w:t>
      </w:r>
      <w:r w:rsidRPr="002459F2">
        <w:rPr>
          <w:rFonts w:ascii="Times New Roman" w:eastAsia="Arial" w:hAnsi="Times New Roman" w:cs="Times New Roman"/>
          <w:sz w:val="24"/>
          <w:szCs w:val="24"/>
          <w:highlight w:val="white"/>
        </w:rPr>
        <w:t xml:space="preserve">. 2020. </w:t>
      </w:r>
      <w:r w:rsidRPr="002459F2">
        <w:rPr>
          <w:rFonts w:ascii="Times New Roman" w:eastAsia="Arial" w:hAnsi="Times New Roman" w:cs="Times New Roman"/>
          <w:sz w:val="24"/>
          <w:szCs w:val="24"/>
        </w:rPr>
        <w:t xml:space="preserve">Disponível em: </w:t>
      </w:r>
      <w:hyperlink r:id="rId8">
        <w:r w:rsidRPr="002459F2">
          <w:rPr>
            <w:rFonts w:ascii="Times New Roman" w:eastAsia="Arial" w:hAnsi="Times New Roman" w:cs="Times New Roman"/>
            <w:sz w:val="24"/>
            <w:szCs w:val="24"/>
            <w:u w:val="single"/>
          </w:rPr>
          <w:t>https://www.fecomercio-sc.com.br/pesquisas/</w:t>
        </w:r>
      </w:hyperlink>
      <w:r w:rsidRPr="002459F2">
        <w:rPr>
          <w:rFonts w:ascii="Times New Roman" w:eastAsia="Arial" w:hAnsi="Times New Roman" w:cs="Times New Roman"/>
          <w:sz w:val="24"/>
          <w:szCs w:val="24"/>
        </w:rPr>
        <w:t xml:space="preserve">. Acesso em: 03 jul. 2020. </w:t>
      </w:r>
    </w:p>
    <w:p w:rsidR="00D001FB" w:rsidRPr="002459F2" w:rsidRDefault="00D001FB" w:rsidP="004851D0">
      <w:pPr>
        <w:spacing w:after="0" w:line="360" w:lineRule="auto"/>
        <w:jc w:val="both"/>
        <w:rPr>
          <w:rFonts w:ascii="Times New Roman" w:eastAsia="Roboto" w:hAnsi="Times New Roman" w:cs="Times New Roman"/>
          <w:sz w:val="24"/>
          <w:szCs w:val="24"/>
          <w:highlight w:val="white"/>
        </w:rPr>
      </w:pPr>
      <w:r w:rsidRPr="002459F2">
        <w:rPr>
          <w:rFonts w:ascii="Times New Roman" w:eastAsia="Roboto" w:hAnsi="Times New Roman" w:cs="Times New Roman"/>
          <w:b/>
          <w:sz w:val="24"/>
          <w:szCs w:val="24"/>
          <w:highlight w:val="white"/>
        </w:rPr>
        <w:t xml:space="preserve">Floripa Conecta 2019: </w:t>
      </w:r>
      <w:r w:rsidRPr="002459F2">
        <w:rPr>
          <w:rFonts w:ascii="Times New Roman" w:eastAsia="Roboto" w:hAnsi="Times New Roman" w:cs="Times New Roman"/>
          <w:sz w:val="24"/>
          <w:szCs w:val="24"/>
          <w:highlight w:val="white"/>
        </w:rPr>
        <w:t>Sobre. 2019. Disponível em: &lt;https://www.floripaconecta.com.br/sobre&gt;. Acesso em: 08 dez. 2019.</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GETZ, D. e WICKS, B. (1993). Editorial. Festival Management &amp;EventTourism. Vol. 1, N. 1, pp. 1-3</w:t>
      </w:r>
    </w:p>
    <w:p w:rsidR="00D001FB" w:rsidRPr="00D001FB" w:rsidRDefault="00D001FB" w:rsidP="00D001FB">
      <w:pPr>
        <w:rPr>
          <w:rFonts w:ascii="Times New Roman" w:hAnsi="Times New Roman" w:cs="Times New Roman"/>
          <w:sz w:val="24"/>
          <w:szCs w:val="24"/>
        </w:rPr>
      </w:pPr>
      <w:r w:rsidRPr="00D001FB">
        <w:rPr>
          <w:rFonts w:ascii="Times New Roman" w:eastAsia="Arial" w:hAnsi="Times New Roman" w:cs="Times New Roman"/>
          <w:sz w:val="24"/>
          <w:szCs w:val="24"/>
          <w:highlight w:val="white"/>
        </w:rPr>
        <w:t xml:space="preserve">ICCA. </w:t>
      </w:r>
      <w:r w:rsidRPr="00D001FB">
        <w:rPr>
          <w:rFonts w:ascii="Times New Roman" w:eastAsia="Arial" w:hAnsi="Times New Roman" w:cs="Times New Roman"/>
          <w:i/>
          <w:sz w:val="24"/>
          <w:szCs w:val="24"/>
        </w:rPr>
        <w:t xml:space="preserve">InternationalCongressandConventionAssociationReport 2019. </w:t>
      </w:r>
      <w:r w:rsidRPr="00D001FB">
        <w:rPr>
          <w:rFonts w:ascii="Times New Roman" w:eastAsia="Arial" w:hAnsi="Times New Roman" w:cs="Times New Roman"/>
          <w:sz w:val="24"/>
          <w:szCs w:val="24"/>
        </w:rPr>
        <w:t xml:space="preserve">Disponível em: </w:t>
      </w:r>
      <w:hyperlink r:id="rId9" w:history="1">
        <w:r w:rsidRPr="00D001FB">
          <w:rPr>
            <w:rStyle w:val="Hyperlink"/>
            <w:rFonts w:ascii="Times New Roman" w:hAnsi="Times New Roman" w:cs="Times New Roman"/>
            <w:sz w:val="24"/>
            <w:szCs w:val="24"/>
          </w:rPr>
          <w:t>https://www.iccaworld.org/</w:t>
        </w:r>
      </w:hyperlink>
      <w:r w:rsidRPr="00D001FB">
        <w:rPr>
          <w:rFonts w:ascii="Times New Roman" w:hAnsi="Times New Roman" w:cs="Times New Roman"/>
          <w:sz w:val="24"/>
          <w:szCs w:val="24"/>
        </w:rPr>
        <w:t>.</w:t>
      </w:r>
    </w:p>
    <w:p w:rsidR="00D001FB" w:rsidRPr="002459F2" w:rsidRDefault="00D001FB" w:rsidP="004851D0">
      <w:pPr>
        <w:spacing w:after="0" w:line="360" w:lineRule="auto"/>
        <w:jc w:val="both"/>
        <w:rPr>
          <w:rFonts w:ascii="Times New Roman" w:eastAsia="Roboto" w:hAnsi="Times New Roman" w:cs="Times New Roman"/>
          <w:sz w:val="24"/>
          <w:szCs w:val="24"/>
          <w:highlight w:val="white"/>
        </w:rPr>
      </w:pPr>
      <w:r w:rsidRPr="002459F2">
        <w:rPr>
          <w:rFonts w:ascii="Times New Roman" w:eastAsia="Roboto" w:hAnsi="Times New Roman" w:cs="Times New Roman"/>
          <w:sz w:val="24"/>
          <w:szCs w:val="24"/>
          <w:highlight w:val="white"/>
        </w:rPr>
        <w:t xml:space="preserve">LEIPNITZ, Daniel. </w:t>
      </w:r>
      <w:r w:rsidRPr="002459F2">
        <w:rPr>
          <w:rFonts w:ascii="Times New Roman" w:eastAsia="Roboto" w:hAnsi="Times New Roman" w:cs="Times New Roman"/>
          <w:b/>
          <w:sz w:val="24"/>
          <w:szCs w:val="24"/>
          <w:highlight w:val="white"/>
        </w:rPr>
        <w:t xml:space="preserve">Conheça tudo sobre o Floripa Conecta, evento inspirado no SXSW. </w:t>
      </w:r>
      <w:r w:rsidRPr="002459F2">
        <w:rPr>
          <w:rFonts w:ascii="Times New Roman" w:eastAsia="Roboto" w:hAnsi="Times New Roman" w:cs="Times New Roman"/>
          <w:sz w:val="24"/>
          <w:szCs w:val="24"/>
          <w:highlight w:val="white"/>
        </w:rPr>
        <w:t>2019. Disponível em: &lt;https://acontecendoaqui.com.br/inovacao/conheca-tudo-sobre-o-floripa-conecta-evento-inspirado-no-sxsw&gt;. Acesso em: 08 dez. 2019.</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LINS, Hoyêdo Nunes. Florianópolis, cluster turístico? </w:t>
      </w:r>
      <w:r w:rsidRPr="002459F2">
        <w:rPr>
          <w:rFonts w:ascii="Times New Roman" w:eastAsia="Arial" w:hAnsi="Times New Roman" w:cs="Times New Roman"/>
          <w:b/>
          <w:sz w:val="24"/>
          <w:szCs w:val="24"/>
        </w:rPr>
        <w:t>Revista Turismo em Análise</w:t>
      </w:r>
      <w:r w:rsidRPr="002459F2">
        <w:rPr>
          <w:rFonts w:ascii="Times New Roman" w:eastAsia="Arial" w:hAnsi="Times New Roman" w:cs="Times New Roman"/>
          <w:sz w:val="24"/>
          <w:szCs w:val="24"/>
        </w:rPr>
        <w:t>, [s.l.], v. 11, n. 2, p.55-64, 15 nov. 2000. Universidade de São Paulo Sistema Integrado de Bibliotecas - SIBiUSP. http://dx.doi.org/10.11606/issn.1984-4867.v11i2p55-70. Disponível em: &lt;https://www.revistas.usp.br/rta/article/view/63518/66261&gt;. Acesso em: 03 dez. 2019.</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lastRenderedPageBreak/>
        <w:t>MARUJO, Noémi. O contributo do turismo de eventos para o desenvolvimento turístico de uma região. 2015.</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MARUJO, Noémi. Turismo e eventos culturais: a Festa da Flor na Ilha da Madeira e as motivações dos turistas. 2014.</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MARUJO, Noémi. Turismo, turistas e eventos: o caso da Ilha da Madeira. 2012.</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MATIAS, Marlene. Organização de eventos: procedimentos e técnicas. 6 ed. Barueri: Manole, 2013.</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 xml:space="preserve">MEDEIROS, Andressa Andrade de. </w:t>
      </w:r>
      <w:r w:rsidRPr="002459F2">
        <w:rPr>
          <w:rFonts w:ascii="Tahoma" w:eastAsia="Arial" w:hAnsi="Tahoma" w:cs="Tahoma"/>
          <w:b/>
          <w:sz w:val="24"/>
          <w:szCs w:val="24"/>
          <w:highlight w:val="white"/>
        </w:rPr>
        <w:t>﻿</w:t>
      </w:r>
      <w:r w:rsidRPr="002459F2">
        <w:rPr>
          <w:rFonts w:ascii="Times New Roman" w:eastAsia="Arial" w:hAnsi="Times New Roman" w:cs="Times New Roman"/>
          <w:b/>
          <w:sz w:val="24"/>
          <w:szCs w:val="24"/>
          <w:highlight w:val="white"/>
        </w:rPr>
        <w:t xml:space="preserve"> Turismo de eventos como estratégia no combate à sazonalidade: uma análise na hotelaria de Natal-RN</w:t>
      </w:r>
      <w:r w:rsidRPr="002459F2">
        <w:rPr>
          <w:rFonts w:ascii="Times New Roman" w:eastAsia="Arial" w:hAnsi="Times New Roman" w:cs="Times New Roman"/>
          <w:sz w:val="24"/>
          <w:szCs w:val="24"/>
          <w:highlight w:val="white"/>
        </w:rPr>
        <w:t>. 2007. Dissertação de Mestrado. Universidade Federal do Rio Grande do Norte.</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MONDO, T. S. Tourqual: proposta de um modelo de avaliação da qualidade de serviços em atrativos turísticos. 2014. 321 p. Tese (Doutorado em Administração) – Centro de Ciências Socioeconômicas – CSE, Universidade Federal de Santa Catarina, UFSC, Santa Catarina, 2014.</w:t>
      </w:r>
    </w:p>
    <w:p w:rsidR="00D001FB" w:rsidRPr="00D001FB" w:rsidRDefault="00D001FB" w:rsidP="00D001FB">
      <w:pPr>
        <w:rPr>
          <w:rFonts w:ascii="Times New Roman" w:eastAsia="Arial" w:hAnsi="Times New Roman" w:cs="Times New Roman"/>
          <w:sz w:val="24"/>
          <w:szCs w:val="24"/>
          <w:highlight w:val="white"/>
        </w:rPr>
      </w:pPr>
      <w:r>
        <w:rPr>
          <w:rFonts w:ascii="Times New Roman" w:hAnsi="Times New Roman" w:cs="Times New Roman"/>
          <w:color w:val="222222"/>
          <w:sz w:val="24"/>
          <w:szCs w:val="24"/>
          <w:shd w:val="clear" w:color="auto" w:fill="FFFFFF"/>
        </w:rPr>
        <w:t xml:space="preserve">MONDO, T.S. </w:t>
      </w:r>
      <w:r>
        <w:rPr>
          <w:rFonts w:ascii="Times New Roman" w:hAnsi="Times New Roman" w:cs="Times New Roman"/>
          <w:b/>
          <w:color w:val="222222"/>
          <w:sz w:val="24"/>
          <w:szCs w:val="24"/>
          <w:shd w:val="clear" w:color="auto" w:fill="FFFFFF"/>
        </w:rPr>
        <w:t xml:space="preserve">Tourqual: </w:t>
      </w:r>
      <w:r>
        <w:rPr>
          <w:rFonts w:ascii="Times New Roman" w:hAnsi="Times New Roman" w:cs="Times New Roman"/>
          <w:color w:val="222222"/>
          <w:sz w:val="24"/>
          <w:szCs w:val="24"/>
          <w:shd w:val="clear" w:color="auto" w:fill="FFFFFF"/>
        </w:rPr>
        <w:t>Gestão da qualidade em destinos e equipamentos turísticos. Paco Editorial: São Paulo, 2019.</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highlight w:val="white"/>
        </w:rPr>
        <w:t xml:space="preserve">MONDO, Tiago Savi; DA SILVA, Francine Vieira Correa; VIDOR, Ana LuisaBaurich. Qualidade de serviços em eventos: aplicação do TOURQUAL na 16ª Fenaostra–Florianópolis-Brasil. </w:t>
      </w:r>
      <w:r w:rsidRPr="002459F2">
        <w:rPr>
          <w:rFonts w:ascii="Times New Roman" w:eastAsia="Arial" w:hAnsi="Times New Roman" w:cs="Times New Roman"/>
          <w:b/>
          <w:sz w:val="24"/>
          <w:szCs w:val="24"/>
          <w:highlight w:val="white"/>
        </w:rPr>
        <w:t>Caderno Virtual de Turismo</w:t>
      </w:r>
      <w:r w:rsidRPr="002459F2">
        <w:rPr>
          <w:rFonts w:ascii="Times New Roman" w:eastAsia="Arial" w:hAnsi="Times New Roman" w:cs="Times New Roman"/>
          <w:sz w:val="24"/>
          <w:szCs w:val="24"/>
          <w:highlight w:val="white"/>
        </w:rPr>
        <w:t>, v. 18, n. 2, 2018.</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MONTES, Valéria Alves; CORIOLANO, Luzia Neide Menezes Teixeira. Turismo de Eventos: promoções e parcerias no Brasil. </w:t>
      </w:r>
      <w:r w:rsidRPr="002459F2">
        <w:rPr>
          <w:rFonts w:ascii="Times New Roman" w:eastAsia="Arial" w:hAnsi="Times New Roman" w:cs="Times New Roman"/>
          <w:b/>
          <w:sz w:val="24"/>
          <w:szCs w:val="24"/>
        </w:rPr>
        <w:t>Revista Turismo em Análise</w:t>
      </w:r>
      <w:r w:rsidRPr="002459F2">
        <w:rPr>
          <w:rFonts w:ascii="Times New Roman" w:eastAsia="Arial" w:hAnsi="Times New Roman" w:cs="Times New Roman"/>
          <w:sz w:val="24"/>
          <w:szCs w:val="24"/>
        </w:rPr>
        <w:t>, São Paulo, v. 14, n. 1, p.40-64, 15 maio 2003. Disponível em: &lt;https://www.revistas.usp.br/rta/article/view/63619/66384&gt;. Acesso em: 19 nov. 2019.</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MUNHOZ, Júlia Vidigal. </w:t>
      </w:r>
      <w:r w:rsidRPr="002459F2">
        <w:rPr>
          <w:rFonts w:ascii="Times New Roman" w:eastAsia="Arial" w:hAnsi="Times New Roman" w:cs="Times New Roman"/>
          <w:b/>
          <w:sz w:val="24"/>
          <w:szCs w:val="24"/>
        </w:rPr>
        <w:t xml:space="preserve">Os principais tipos de eventos corporativos e seus objetivos. </w:t>
      </w:r>
      <w:r w:rsidRPr="002459F2">
        <w:rPr>
          <w:rFonts w:ascii="Times New Roman" w:eastAsia="Arial" w:hAnsi="Times New Roman" w:cs="Times New Roman"/>
          <w:sz w:val="24"/>
          <w:szCs w:val="24"/>
        </w:rPr>
        <w:t>Disponível em: &lt;https://www.moblee.com.br/blog/tipos-de-eventos-corporativos/&gt;. Acesso em: 03 dez. 2019.</w:t>
      </w:r>
    </w:p>
    <w:p w:rsidR="00D001FB" w:rsidRPr="002459F2" w:rsidRDefault="00D001FB" w:rsidP="004851D0">
      <w:pPr>
        <w:spacing w:after="0" w:line="360" w:lineRule="auto"/>
        <w:jc w:val="both"/>
        <w:rPr>
          <w:rFonts w:ascii="Times New Roman" w:eastAsia="Arial" w:hAnsi="Times New Roman" w:cs="Times New Roman"/>
          <w:sz w:val="24"/>
          <w:szCs w:val="24"/>
        </w:rPr>
      </w:pPr>
      <w:r w:rsidRPr="002459F2">
        <w:rPr>
          <w:rFonts w:ascii="Times New Roman" w:eastAsia="Arial" w:hAnsi="Times New Roman" w:cs="Times New Roman"/>
          <w:sz w:val="24"/>
          <w:szCs w:val="24"/>
        </w:rPr>
        <w:t xml:space="preserve">OLIVEIRA, Fábio de. </w:t>
      </w:r>
      <w:r w:rsidRPr="002459F2">
        <w:rPr>
          <w:rFonts w:ascii="Times New Roman" w:eastAsia="Arial" w:hAnsi="Times New Roman" w:cs="Times New Roman"/>
          <w:b/>
          <w:sz w:val="24"/>
          <w:szCs w:val="24"/>
        </w:rPr>
        <w:t xml:space="preserve">Turismo como gerador de emprego e renda. </w:t>
      </w:r>
      <w:r w:rsidRPr="002459F2">
        <w:rPr>
          <w:rFonts w:ascii="Times New Roman" w:eastAsia="Arial" w:hAnsi="Times New Roman" w:cs="Times New Roman"/>
          <w:sz w:val="24"/>
          <w:szCs w:val="24"/>
        </w:rPr>
        <w:t>2019. Disponível em: &lt;https://www.vgnoticias.com.br/artigos/turismo-como-gerador-de-emprego-e-renda/60530&gt;. Acesso em: 03 dez. 2019.</w:t>
      </w:r>
    </w:p>
    <w:p w:rsidR="00D001FB" w:rsidRPr="00313014" w:rsidRDefault="00D001FB" w:rsidP="004851D0">
      <w:pPr>
        <w:spacing w:after="0" w:line="360" w:lineRule="auto"/>
        <w:jc w:val="both"/>
        <w:rPr>
          <w:rFonts w:ascii="Times New Roman" w:eastAsia="Arial" w:hAnsi="Times New Roman" w:cs="Times New Roman"/>
          <w:sz w:val="24"/>
          <w:szCs w:val="24"/>
          <w:lang w:val="en-US"/>
        </w:rPr>
      </w:pPr>
      <w:r w:rsidRPr="002459F2">
        <w:rPr>
          <w:rFonts w:ascii="Times New Roman" w:eastAsia="Arial" w:hAnsi="Times New Roman" w:cs="Times New Roman"/>
          <w:sz w:val="24"/>
          <w:szCs w:val="24"/>
        </w:rPr>
        <w:t xml:space="preserve">PARASURAMAN, A.; ZEITHAML V. A.; BERRY, L. L. Servqual: A multipleitemscale for measuringconsumerperceptionsof ser vice quality. </w:t>
      </w:r>
      <w:r w:rsidRPr="00313014">
        <w:rPr>
          <w:rFonts w:ascii="Times New Roman" w:eastAsia="Arial" w:hAnsi="Times New Roman" w:cs="Times New Roman"/>
          <w:sz w:val="24"/>
          <w:szCs w:val="24"/>
          <w:lang w:val="en-US"/>
        </w:rPr>
        <w:t>JournalofRetailing, v. 64, n. 1, p. 12- 40, 1988.</w:t>
      </w:r>
    </w:p>
    <w:p w:rsidR="00D001FB" w:rsidRPr="002459F2" w:rsidRDefault="00D001FB" w:rsidP="004851D0">
      <w:pPr>
        <w:spacing w:after="0" w:line="360" w:lineRule="auto"/>
        <w:jc w:val="both"/>
        <w:rPr>
          <w:rFonts w:ascii="Times New Roman" w:eastAsia="Arial" w:hAnsi="Times New Roman" w:cs="Times New Roman"/>
          <w:sz w:val="24"/>
          <w:szCs w:val="24"/>
        </w:rPr>
      </w:pPr>
      <w:r w:rsidRPr="00313014">
        <w:rPr>
          <w:rFonts w:ascii="Times New Roman" w:eastAsia="Arial" w:hAnsi="Times New Roman" w:cs="Times New Roman"/>
          <w:sz w:val="24"/>
          <w:szCs w:val="24"/>
          <w:lang w:val="en-US"/>
        </w:rPr>
        <w:lastRenderedPageBreak/>
        <w:t xml:space="preserve">PARASURAMAN, A.; ZEITHAML, V. A.; BERRY, L. L. A conceptual modelofservicequalityand its implications for future research. </w:t>
      </w:r>
      <w:r w:rsidRPr="002459F2">
        <w:rPr>
          <w:rFonts w:ascii="Times New Roman" w:eastAsia="Arial" w:hAnsi="Times New Roman" w:cs="Times New Roman"/>
          <w:sz w:val="24"/>
          <w:szCs w:val="24"/>
        </w:rPr>
        <w:t xml:space="preserve">The Journalof Marketing, p. 41-50, 1985. </w:t>
      </w:r>
    </w:p>
    <w:p w:rsidR="00D001FB" w:rsidRPr="002459F2" w:rsidRDefault="00D001FB" w:rsidP="004851D0">
      <w:pPr>
        <w:spacing w:after="0" w:line="360" w:lineRule="auto"/>
        <w:jc w:val="both"/>
        <w:rPr>
          <w:rFonts w:ascii="Times New Roman" w:eastAsia="Arial" w:hAnsi="Times New Roman" w:cs="Times New Roman"/>
          <w:sz w:val="24"/>
          <w:szCs w:val="24"/>
          <w:highlight w:val="white"/>
        </w:rPr>
      </w:pPr>
      <w:r w:rsidRPr="002459F2">
        <w:rPr>
          <w:rFonts w:ascii="Times New Roman" w:eastAsia="Arial" w:hAnsi="Times New Roman" w:cs="Times New Roman"/>
          <w:sz w:val="24"/>
          <w:szCs w:val="24"/>
          <w:highlight w:val="white"/>
        </w:rPr>
        <w:t xml:space="preserve">TRIVIÑOS, A. N. S. </w:t>
      </w:r>
      <w:r w:rsidRPr="002459F2">
        <w:rPr>
          <w:rFonts w:ascii="Times New Roman" w:eastAsia="Arial" w:hAnsi="Times New Roman" w:cs="Times New Roman"/>
          <w:b/>
          <w:sz w:val="24"/>
          <w:szCs w:val="24"/>
          <w:highlight w:val="white"/>
        </w:rPr>
        <w:t>Introdução à pesquisa em ciências sociais: a pesquisa qualitativa em educação:</w:t>
      </w:r>
      <w:r w:rsidRPr="002459F2">
        <w:rPr>
          <w:rFonts w:ascii="Times New Roman" w:eastAsia="Arial" w:hAnsi="Times New Roman" w:cs="Times New Roman"/>
          <w:sz w:val="24"/>
          <w:szCs w:val="24"/>
          <w:highlight w:val="white"/>
        </w:rPr>
        <w:t xml:space="preserve"> o positivismo, a fenomenologia, o Marxismo., São Paulo: Atlas 1987. </w:t>
      </w:r>
    </w:p>
    <w:p w:rsidR="00D001FB" w:rsidRPr="00313014" w:rsidRDefault="00D001FB" w:rsidP="004851D0">
      <w:pPr>
        <w:spacing w:after="0" w:line="360" w:lineRule="auto"/>
        <w:jc w:val="both"/>
        <w:rPr>
          <w:rFonts w:ascii="Times New Roman" w:eastAsia="Arial" w:hAnsi="Times New Roman" w:cs="Times New Roman"/>
          <w:sz w:val="24"/>
          <w:szCs w:val="24"/>
          <w:lang w:val="en-US"/>
        </w:rPr>
      </w:pPr>
      <w:r w:rsidRPr="002459F2">
        <w:rPr>
          <w:rFonts w:ascii="Times New Roman" w:eastAsia="Arial" w:hAnsi="Times New Roman" w:cs="Times New Roman"/>
          <w:sz w:val="24"/>
          <w:szCs w:val="24"/>
          <w:highlight w:val="white"/>
        </w:rPr>
        <w:t xml:space="preserve">WATT, David C. </w:t>
      </w:r>
      <w:r w:rsidRPr="002459F2">
        <w:rPr>
          <w:rFonts w:ascii="Times New Roman" w:eastAsia="Arial" w:hAnsi="Times New Roman" w:cs="Times New Roman"/>
          <w:b/>
          <w:sz w:val="24"/>
          <w:szCs w:val="24"/>
          <w:highlight w:val="white"/>
        </w:rPr>
        <w:t>Gestão de eventos em lazer e turismo</w:t>
      </w:r>
      <w:r w:rsidRPr="002459F2">
        <w:rPr>
          <w:rFonts w:ascii="Times New Roman" w:eastAsia="Arial" w:hAnsi="Times New Roman" w:cs="Times New Roman"/>
          <w:sz w:val="24"/>
          <w:szCs w:val="24"/>
          <w:highlight w:val="white"/>
        </w:rPr>
        <w:t xml:space="preserve">. </w:t>
      </w:r>
      <w:r w:rsidRPr="00313014">
        <w:rPr>
          <w:rFonts w:ascii="Times New Roman" w:eastAsia="Arial" w:hAnsi="Times New Roman" w:cs="Times New Roman"/>
          <w:sz w:val="24"/>
          <w:szCs w:val="24"/>
          <w:highlight w:val="white"/>
          <w:lang w:val="en-US"/>
        </w:rPr>
        <w:t>Bookman Editora, 2009.</w:t>
      </w:r>
    </w:p>
    <w:p w:rsidR="00D001FB" w:rsidRDefault="00D001FB" w:rsidP="00D001FB">
      <w:pPr>
        <w:rPr>
          <w:rFonts w:ascii="Times New Roman" w:eastAsia="Arial" w:hAnsi="Times New Roman" w:cs="Times New Roman"/>
          <w:sz w:val="24"/>
          <w:szCs w:val="24"/>
          <w:highlight w:val="white"/>
        </w:rPr>
      </w:pPr>
      <w:r w:rsidRPr="00313014">
        <w:rPr>
          <w:rFonts w:ascii="Times New Roman" w:eastAsia="Arial" w:hAnsi="Times New Roman" w:cs="Times New Roman"/>
          <w:sz w:val="24"/>
          <w:szCs w:val="24"/>
          <w:highlight w:val="white"/>
          <w:lang w:val="en-US"/>
        </w:rPr>
        <w:t xml:space="preserve">ZANELLA, Liane Carly Hermes. </w:t>
      </w:r>
      <w:r w:rsidRPr="002459F2">
        <w:rPr>
          <w:rFonts w:ascii="Times New Roman" w:eastAsia="Arial" w:hAnsi="Times New Roman" w:cs="Times New Roman"/>
          <w:b/>
          <w:sz w:val="24"/>
          <w:szCs w:val="24"/>
          <w:highlight w:val="white"/>
        </w:rPr>
        <w:t xml:space="preserve">Metodologia de Pesquisa. </w:t>
      </w:r>
      <w:r w:rsidRPr="002459F2">
        <w:rPr>
          <w:rFonts w:ascii="Times New Roman" w:eastAsia="Arial" w:hAnsi="Times New Roman" w:cs="Times New Roman"/>
          <w:sz w:val="24"/>
          <w:szCs w:val="24"/>
          <w:highlight w:val="white"/>
        </w:rPr>
        <w:t>2. ed. Florianópolis: UFSC, 2013. 134 p.</w:t>
      </w:r>
    </w:p>
    <w:sectPr w:rsidR="00D001FB" w:rsidSect="002459F2">
      <w:headerReference w:type="first" r:id="rId10"/>
      <w:footerReference w:type="first" r:id="rId11"/>
      <w:pgSz w:w="11906" w:h="16838"/>
      <w:pgMar w:top="1701" w:right="1134" w:bottom="1134" w:left="1701" w:header="136"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0A" w:rsidRDefault="00B9340A">
      <w:pPr>
        <w:spacing w:after="0" w:line="240" w:lineRule="auto"/>
      </w:pPr>
      <w:r>
        <w:separator/>
      </w:r>
    </w:p>
  </w:endnote>
  <w:endnote w:type="continuationSeparator" w:id="1">
    <w:p w:rsidR="00B9340A" w:rsidRDefault="00B93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6E" w:rsidRDefault="00551C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0A" w:rsidRDefault="00B9340A">
      <w:pPr>
        <w:spacing w:after="0" w:line="240" w:lineRule="auto"/>
      </w:pPr>
      <w:r>
        <w:separator/>
      </w:r>
    </w:p>
  </w:footnote>
  <w:footnote w:type="continuationSeparator" w:id="1">
    <w:p w:rsidR="00B9340A" w:rsidRDefault="00B93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6E" w:rsidRDefault="00551C6E">
    <w:pPr>
      <w:jc w:val="center"/>
    </w:pPr>
  </w:p>
  <w:p w:rsidR="00551C6E" w:rsidRDefault="00551C6E">
    <w:pPr>
      <w:jc w:val="right"/>
      <w:rPr>
        <w:rFonts w:ascii="Arial" w:eastAsia="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735FE"/>
    <w:multiLevelType w:val="multilevel"/>
    <w:tmpl w:val="13DAF2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011CF"/>
    <w:rsid w:val="001401A5"/>
    <w:rsid w:val="001F303C"/>
    <w:rsid w:val="002459F2"/>
    <w:rsid w:val="002E3165"/>
    <w:rsid w:val="00313014"/>
    <w:rsid w:val="003E341B"/>
    <w:rsid w:val="00422466"/>
    <w:rsid w:val="004851D0"/>
    <w:rsid w:val="004B12C3"/>
    <w:rsid w:val="00551C6E"/>
    <w:rsid w:val="005910BC"/>
    <w:rsid w:val="006574BC"/>
    <w:rsid w:val="00683C01"/>
    <w:rsid w:val="006B03F2"/>
    <w:rsid w:val="006D01B6"/>
    <w:rsid w:val="00843B28"/>
    <w:rsid w:val="00A15A2C"/>
    <w:rsid w:val="00A77B16"/>
    <w:rsid w:val="00AD4230"/>
    <w:rsid w:val="00B011CF"/>
    <w:rsid w:val="00B9340A"/>
    <w:rsid w:val="00BF36C4"/>
    <w:rsid w:val="00D001FB"/>
    <w:rsid w:val="00D73CDD"/>
    <w:rsid w:val="00D86C4E"/>
    <w:rsid w:val="00E44B17"/>
    <w:rsid w:val="00E86AF3"/>
    <w:rsid w:val="00F61D5E"/>
    <w:rsid w:val="00F829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B28"/>
  </w:style>
  <w:style w:type="paragraph" w:styleId="Ttulo1">
    <w:name w:val="heading 1"/>
    <w:basedOn w:val="Normal"/>
    <w:next w:val="Normal"/>
    <w:rsid w:val="00843B28"/>
    <w:pPr>
      <w:keepNext/>
      <w:keepLines/>
      <w:spacing w:before="480" w:after="120"/>
      <w:outlineLvl w:val="0"/>
    </w:pPr>
    <w:rPr>
      <w:b/>
      <w:sz w:val="48"/>
      <w:szCs w:val="48"/>
    </w:rPr>
  </w:style>
  <w:style w:type="paragraph" w:styleId="Ttulo2">
    <w:name w:val="heading 2"/>
    <w:basedOn w:val="Normal"/>
    <w:next w:val="Normal"/>
    <w:rsid w:val="00843B28"/>
    <w:pPr>
      <w:keepNext/>
      <w:keepLines/>
      <w:spacing w:before="360" w:after="80"/>
      <w:outlineLvl w:val="1"/>
    </w:pPr>
    <w:rPr>
      <w:b/>
      <w:sz w:val="36"/>
      <w:szCs w:val="36"/>
    </w:rPr>
  </w:style>
  <w:style w:type="paragraph" w:styleId="Ttulo3">
    <w:name w:val="heading 3"/>
    <w:basedOn w:val="Normal"/>
    <w:next w:val="Normal"/>
    <w:rsid w:val="00843B28"/>
    <w:pPr>
      <w:keepNext/>
      <w:keepLines/>
      <w:spacing w:before="280" w:after="80"/>
      <w:outlineLvl w:val="2"/>
    </w:pPr>
    <w:rPr>
      <w:b/>
      <w:sz w:val="28"/>
      <w:szCs w:val="28"/>
    </w:rPr>
  </w:style>
  <w:style w:type="paragraph" w:styleId="Ttulo4">
    <w:name w:val="heading 4"/>
    <w:basedOn w:val="Normal"/>
    <w:next w:val="Normal"/>
    <w:rsid w:val="00843B28"/>
    <w:pPr>
      <w:keepNext/>
      <w:keepLines/>
      <w:spacing w:before="240" w:after="40"/>
      <w:outlineLvl w:val="3"/>
    </w:pPr>
    <w:rPr>
      <w:b/>
      <w:sz w:val="24"/>
      <w:szCs w:val="24"/>
    </w:rPr>
  </w:style>
  <w:style w:type="paragraph" w:styleId="Ttulo5">
    <w:name w:val="heading 5"/>
    <w:basedOn w:val="Normal"/>
    <w:next w:val="Normal"/>
    <w:rsid w:val="00843B28"/>
    <w:pPr>
      <w:keepNext/>
      <w:keepLines/>
      <w:spacing w:before="220" w:after="40"/>
      <w:outlineLvl w:val="4"/>
    </w:pPr>
    <w:rPr>
      <w:b/>
    </w:rPr>
  </w:style>
  <w:style w:type="paragraph" w:styleId="Ttulo6">
    <w:name w:val="heading 6"/>
    <w:basedOn w:val="Normal"/>
    <w:next w:val="Normal"/>
    <w:rsid w:val="00843B2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43B28"/>
    <w:tblPr>
      <w:tblCellMar>
        <w:top w:w="0" w:type="dxa"/>
        <w:left w:w="0" w:type="dxa"/>
        <w:bottom w:w="0" w:type="dxa"/>
        <w:right w:w="0" w:type="dxa"/>
      </w:tblCellMar>
    </w:tblPr>
  </w:style>
  <w:style w:type="paragraph" w:styleId="Ttulo">
    <w:name w:val="Title"/>
    <w:basedOn w:val="Normal"/>
    <w:next w:val="Normal"/>
    <w:rsid w:val="00843B28"/>
    <w:pPr>
      <w:keepNext/>
      <w:keepLines/>
      <w:spacing w:before="480" w:after="120"/>
    </w:pPr>
    <w:rPr>
      <w:b/>
      <w:sz w:val="72"/>
      <w:szCs w:val="72"/>
    </w:rPr>
  </w:style>
  <w:style w:type="paragraph" w:styleId="Subttulo">
    <w:name w:val="Subtitle"/>
    <w:basedOn w:val="Normal"/>
    <w:next w:val="Normal"/>
    <w:rsid w:val="00843B28"/>
    <w:pPr>
      <w:keepNext/>
      <w:keepLines/>
      <w:spacing w:before="360" w:after="80"/>
    </w:pPr>
    <w:rPr>
      <w:rFonts w:ascii="Georgia" w:eastAsia="Georgia" w:hAnsi="Georgia" w:cs="Georgia"/>
      <w:i/>
      <w:color w:val="666666"/>
      <w:sz w:val="48"/>
      <w:szCs w:val="48"/>
    </w:rPr>
  </w:style>
  <w:style w:type="table" w:customStyle="1" w:styleId="a">
    <w:basedOn w:val="TableNormal"/>
    <w:rsid w:val="00843B28"/>
    <w:tblPr>
      <w:tblStyleRowBandSize w:val="1"/>
      <w:tblStyleColBandSize w:val="1"/>
      <w:tblCellMar>
        <w:top w:w="100" w:type="dxa"/>
        <w:left w:w="100" w:type="dxa"/>
        <w:bottom w:w="100" w:type="dxa"/>
        <w:right w:w="100" w:type="dxa"/>
      </w:tblCellMar>
    </w:tblPr>
  </w:style>
  <w:style w:type="table" w:customStyle="1" w:styleId="a0">
    <w:basedOn w:val="TableNormal"/>
    <w:rsid w:val="00843B28"/>
    <w:tblPr>
      <w:tblStyleRowBandSize w:val="1"/>
      <w:tblStyleColBandSize w:val="1"/>
      <w:tblCellMar>
        <w:top w:w="100" w:type="dxa"/>
        <w:left w:w="100" w:type="dxa"/>
        <w:bottom w:w="100" w:type="dxa"/>
        <w:right w:w="100" w:type="dxa"/>
      </w:tblCellMar>
    </w:tblPr>
  </w:style>
  <w:style w:type="table" w:customStyle="1" w:styleId="a1">
    <w:basedOn w:val="TableNormal"/>
    <w:rsid w:val="00843B28"/>
    <w:tblPr>
      <w:tblStyleRowBandSize w:val="1"/>
      <w:tblStyleColBandSize w:val="1"/>
      <w:tblCellMar>
        <w:top w:w="100" w:type="dxa"/>
        <w:left w:w="100" w:type="dxa"/>
        <w:bottom w:w="100" w:type="dxa"/>
        <w:right w:w="100" w:type="dxa"/>
      </w:tblCellMar>
    </w:tblPr>
  </w:style>
  <w:style w:type="table" w:customStyle="1" w:styleId="a2">
    <w:basedOn w:val="TableNormal"/>
    <w:rsid w:val="00843B28"/>
    <w:tblPr>
      <w:tblStyleRowBandSize w:val="1"/>
      <w:tblStyleColBandSize w:val="1"/>
      <w:tblCellMar>
        <w:top w:w="100" w:type="dxa"/>
        <w:left w:w="100" w:type="dxa"/>
        <w:bottom w:w="100" w:type="dxa"/>
        <w:right w:w="100" w:type="dxa"/>
      </w:tblCellMar>
    </w:tblPr>
  </w:style>
  <w:style w:type="table" w:customStyle="1" w:styleId="a3">
    <w:basedOn w:val="TableNormal"/>
    <w:rsid w:val="00843B28"/>
    <w:tblPr>
      <w:tblStyleRowBandSize w:val="1"/>
      <w:tblStyleColBandSize w:val="1"/>
      <w:tblCellMar>
        <w:top w:w="100" w:type="dxa"/>
        <w:left w:w="100" w:type="dxa"/>
        <w:bottom w:w="100" w:type="dxa"/>
        <w:right w:w="100" w:type="dxa"/>
      </w:tblCellMar>
    </w:tblPr>
  </w:style>
  <w:style w:type="table" w:customStyle="1" w:styleId="a4">
    <w:basedOn w:val="TableNormal"/>
    <w:rsid w:val="00843B28"/>
    <w:tblPr>
      <w:tblStyleRowBandSize w:val="1"/>
      <w:tblStyleColBandSize w:val="1"/>
      <w:tblCellMar>
        <w:top w:w="100" w:type="dxa"/>
        <w:left w:w="100" w:type="dxa"/>
        <w:bottom w:w="100" w:type="dxa"/>
        <w:right w:w="100" w:type="dxa"/>
      </w:tblCellMar>
    </w:tblPr>
  </w:style>
  <w:style w:type="table" w:customStyle="1" w:styleId="a5">
    <w:basedOn w:val="TableNormal"/>
    <w:rsid w:val="00843B28"/>
    <w:tblPr>
      <w:tblStyleRowBandSize w:val="1"/>
      <w:tblStyleColBandSize w:val="1"/>
      <w:tblCellMar>
        <w:top w:w="100" w:type="dxa"/>
        <w:left w:w="100" w:type="dxa"/>
        <w:bottom w:w="100" w:type="dxa"/>
        <w:right w:w="100" w:type="dxa"/>
      </w:tblCellMar>
    </w:tblPr>
  </w:style>
  <w:style w:type="table" w:customStyle="1" w:styleId="a6">
    <w:basedOn w:val="TableNormal"/>
    <w:rsid w:val="00843B28"/>
    <w:tblPr>
      <w:tblStyleRowBandSize w:val="1"/>
      <w:tblStyleColBandSize w:val="1"/>
      <w:tblCellMar>
        <w:top w:w="100" w:type="dxa"/>
        <w:left w:w="100" w:type="dxa"/>
        <w:bottom w:w="100" w:type="dxa"/>
        <w:right w:w="100" w:type="dxa"/>
      </w:tblCellMar>
    </w:tblPr>
  </w:style>
  <w:style w:type="table" w:customStyle="1" w:styleId="a7">
    <w:basedOn w:val="TableNormal"/>
    <w:rsid w:val="00843B28"/>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rsid w:val="00843B2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3B28"/>
    <w:rPr>
      <w:sz w:val="20"/>
      <w:szCs w:val="20"/>
    </w:rPr>
  </w:style>
  <w:style w:type="character" w:styleId="Refdecomentrio">
    <w:name w:val="annotation reference"/>
    <w:basedOn w:val="Fontepargpadro"/>
    <w:uiPriority w:val="99"/>
    <w:semiHidden/>
    <w:unhideWhenUsed/>
    <w:rsid w:val="00843B28"/>
    <w:rPr>
      <w:sz w:val="16"/>
      <w:szCs w:val="16"/>
    </w:rPr>
  </w:style>
  <w:style w:type="paragraph" w:styleId="Textodebalo">
    <w:name w:val="Balloon Text"/>
    <w:basedOn w:val="Normal"/>
    <w:link w:val="TextodebaloChar"/>
    <w:uiPriority w:val="99"/>
    <w:semiHidden/>
    <w:unhideWhenUsed/>
    <w:rsid w:val="00551C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1C6E"/>
    <w:rPr>
      <w:rFonts w:ascii="Segoe UI" w:hAnsi="Segoe UI" w:cs="Segoe UI"/>
      <w:sz w:val="18"/>
      <w:szCs w:val="18"/>
    </w:rPr>
  </w:style>
  <w:style w:type="table" w:styleId="Tabelacomgrade">
    <w:name w:val="Table Grid"/>
    <w:basedOn w:val="Tabelanormal"/>
    <w:uiPriority w:val="39"/>
    <w:rsid w:val="003E3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851D0"/>
    <w:pPr>
      <w:ind w:left="720"/>
      <w:contextualSpacing/>
    </w:pPr>
  </w:style>
  <w:style w:type="character" w:styleId="Hyperlink">
    <w:name w:val="Hyperlink"/>
    <w:basedOn w:val="Fontepargpadro"/>
    <w:uiPriority w:val="99"/>
    <w:semiHidden/>
    <w:unhideWhenUsed/>
    <w:rsid w:val="00D001FB"/>
    <w:rPr>
      <w:color w:val="0000FF"/>
      <w:u w:val="single"/>
    </w:rPr>
  </w:style>
  <w:style w:type="paragraph" w:styleId="Textodenotaderodap">
    <w:name w:val="footnote text"/>
    <w:basedOn w:val="Normal"/>
    <w:link w:val="TextodenotaderodapChar"/>
    <w:uiPriority w:val="99"/>
    <w:semiHidden/>
    <w:unhideWhenUsed/>
    <w:rsid w:val="00A15A2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5A2C"/>
    <w:rPr>
      <w:sz w:val="20"/>
      <w:szCs w:val="20"/>
    </w:rPr>
  </w:style>
  <w:style w:type="character" w:styleId="Refdenotaderodap">
    <w:name w:val="footnote reference"/>
    <w:basedOn w:val="Fontepargpadro"/>
    <w:uiPriority w:val="99"/>
    <w:semiHidden/>
    <w:unhideWhenUsed/>
    <w:rsid w:val="00A15A2C"/>
    <w:rPr>
      <w:vertAlign w:val="superscript"/>
    </w:rPr>
  </w:style>
  <w:style w:type="paragraph" w:styleId="Pr-formataoHTML">
    <w:name w:val="HTML Preformatted"/>
    <w:basedOn w:val="Normal"/>
    <w:link w:val="Pr-formataoHTMLChar"/>
    <w:uiPriority w:val="99"/>
    <w:semiHidden/>
    <w:unhideWhenUsed/>
    <w:rsid w:val="002E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E316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75811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comercio-sc.com.br/pesquis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c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BACB-360F-4FBC-B395-FDED266C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1</Pages>
  <Words>5529</Words>
  <Characters>29857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DETUH</cp:lastModifiedBy>
  <cp:revision>16</cp:revision>
  <dcterms:created xsi:type="dcterms:W3CDTF">2020-07-04T01:21:00Z</dcterms:created>
  <dcterms:modified xsi:type="dcterms:W3CDTF">2020-07-22T20:33:00Z</dcterms:modified>
</cp:coreProperties>
</file>